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exact" w:line="256"/>
        <w:rPr>
          <w:sz w:val="24"/>
          <w:szCs w:val="24"/>
          <w:rFonts w:ascii="Times New Roman" w:eastAsia="Times New Roman" w:hAnsi="Times New Roman"/>
        </w:rPr>
      </w:pPr>
    </w:p>
    <w:p>
      <w:pPr>
        <w:jc w:val="center"/>
        <w:spacing w:lineRule="exact" w:line="548"/>
        <w:ind w:right="6" w:firstLine="0"/>
        <w:rPr>
          <w:b w:val="1"/>
          <w:sz w:val="48"/>
          <w:szCs w:val="48"/>
          <w:rFonts w:hAnsi="宋体"/>
        </w:rPr>
      </w:pPr>
    </w:p>
    <w:p>
      <w:pPr>
        <w:jc w:val="center"/>
        <w:spacing w:lineRule="exact" w:line="548"/>
        <w:ind w:right="6" w:firstLine="0"/>
        <w:rPr>
          <w:b w:val="1"/>
          <w:sz w:val="48"/>
          <w:szCs w:val="48"/>
          <w:rFonts w:hAnsi="宋体"/>
        </w:rPr>
      </w:pPr>
    </w:p>
    <w:p>
      <w:pPr>
        <w:jc w:val="center"/>
        <w:spacing w:lineRule="exact" w:line="548"/>
        <w:ind w:right="6" w:firstLine="0"/>
        <w:rPr>
          <w:b w:val="1"/>
          <w:sz w:val="48"/>
          <w:szCs w:val="48"/>
          <w:rFonts w:hAnsi="宋体"/>
        </w:rPr>
      </w:pPr>
    </w:p>
    <w:p>
      <w:pPr>
        <w:jc w:val="center"/>
        <w:spacing w:lineRule="exact" w:line="548"/>
        <w:ind w:right="6" w:firstLine="0"/>
        <w:rPr>
          <w:b w:val="1"/>
          <w:sz w:val="48"/>
          <w:szCs w:val="48"/>
          <w:rFonts w:hAnsi="宋体"/>
        </w:rPr>
      </w:pPr>
      <w:r>
        <w:rPr>
          <w:b w:val="1"/>
          <w:sz w:val="48"/>
          <w:szCs w:val="48"/>
          <w:rFonts w:hAnsi="宋体"/>
        </w:rPr>
        <w:t xml:space="preserve">2020 年高等职业院校</w:t>
      </w:r>
    </w:p>
    <w:p>
      <w:pPr>
        <w:spacing w:lineRule="exact" w:line="388"/>
        <w:rPr>
          <w:sz w:val="24"/>
          <w:szCs w:val="24"/>
          <w:rFonts w:ascii="Times New Roman" w:eastAsia="Times New Roman" w:hAnsi="Times New Roman"/>
        </w:rPr>
      </w:pPr>
    </w:p>
    <w:p>
      <w:pPr>
        <w:jc w:val="center"/>
        <w:spacing w:lineRule="exact" w:line="548"/>
        <w:ind w:right="6" w:firstLine="0"/>
        <w:rPr>
          <w:b w:val="1"/>
          <w:sz w:val="48"/>
          <w:szCs w:val="48"/>
          <w:rFonts w:hAnsi="宋体"/>
        </w:rPr>
      </w:pPr>
      <w:r>
        <w:rPr>
          <w:b w:val="1"/>
          <w:sz w:val="48"/>
          <w:szCs w:val="48"/>
          <w:rFonts w:hAnsi="宋体"/>
        </w:rPr>
        <w:t>适应社会需求能力评估自评报告</w:t>
      </w: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hAnsi="Times New Roman" w:eastAsiaTheme="minorEastAsia"/>
        </w:rPr>
      </w:pPr>
    </w:p>
    <w:p>
      <w:pPr>
        <w:spacing w:lineRule="exact" w:line="200"/>
        <w:rPr>
          <w:sz w:val="24"/>
          <w:szCs w:val="24"/>
          <w:rFonts w:ascii="Times New Roman" w:hAnsi="Times New Roman" w:eastAsiaTheme="minorEastAsia"/>
        </w:rPr>
      </w:pPr>
    </w:p>
    <w:p>
      <w:pPr>
        <w:spacing w:lineRule="exact" w:line="200"/>
        <w:rPr>
          <w:sz w:val="24"/>
          <w:szCs w:val="24"/>
          <w:rFonts w:ascii="Times New Roman" w:hAnsi="Times New Roman" w:eastAsiaTheme="minorEastAsia"/>
        </w:rPr>
      </w:pPr>
    </w:p>
    <w:p>
      <w:pPr>
        <w:spacing w:lineRule="exact" w:line="200"/>
        <w:rPr>
          <w:sz w:val="24"/>
          <w:szCs w:val="24"/>
          <w:rFonts w:ascii="Times New Roman" w:hAnsi="Times New Roman" w:eastAsiaTheme="minorEastAsia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54" behindDoc="1" locked="0" layoutInCell="1" allowOverlap="1">
            <wp:simplePos x="0" y="0"/>
            <wp:positionH relativeFrom="column">
              <wp:posOffset>1542419</wp:posOffset>
            </wp:positionH>
            <wp:positionV relativeFrom="paragraph">
              <wp:posOffset>28579</wp:posOffset>
            </wp:positionV>
            <wp:extent cx="2720340" cy="2539365"/>
            <wp:effectExtent l="19050" t="0" r="9525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HP/AppData/Roaming/JisuOffice/ETemp/76804_20043136/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540000"/>
                    </a:xfrm>
                    <a:prstGeom prst="rect"/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200"/>
        <w:rPr>
          <w:sz w:val="24"/>
          <w:szCs w:val="24"/>
          <w:rFonts w:ascii="Times New Roman" w:eastAsia="Times New Roman" w:hAnsi="Times New Roman"/>
        </w:rPr>
      </w:pPr>
    </w:p>
    <w:p>
      <w:pPr>
        <w:spacing w:lineRule="exact" w:line="348"/>
        <w:rPr>
          <w:sz w:val="24"/>
          <w:szCs w:val="24"/>
          <w:rFonts w:ascii="Times New Roman" w:eastAsia="Times New Roman" w:hAnsi="Times New Roman"/>
        </w:rPr>
      </w:pPr>
    </w:p>
    <w:p>
      <w:p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</w:p>
    <w:p>
      <w:p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</w:p>
    <w:p>
      <w:p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</w:p>
    <w:p>
      <w:p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  <w:r>
        <w:rPr>
          <w:b w:val="1"/>
          <w:sz w:val="36"/>
          <w:szCs w:val="36"/>
          <w:rFonts w:hAnsi="宋体" w:hint="eastAsia"/>
        </w:rPr>
        <w:t>河北旅游</w:t>
      </w:r>
      <w:r>
        <w:rPr>
          <w:b w:val="1"/>
          <w:sz w:val="36"/>
          <w:szCs w:val="36"/>
          <w:rFonts w:hAnsi="宋体"/>
        </w:rPr>
        <w:t>职业学院</w:t>
      </w:r>
    </w:p>
    <w:p>
      <w:p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</w:p>
    <w:p>
      <w:p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</w:p>
    <w:p>
      <w:pPr>
        <w:spacing w:lineRule="exact" w:line="366"/>
        <w:ind w:right="6" w:firstLine="3373"/>
        <w:rPr>
          <w:b w:val="1"/>
          <w:rFonts w:hAnsi="宋体"/>
        </w:rPr>
      </w:pPr>
      <w:r>
        <w:rPr>
          <w:b w:val="1"/>
          <w:rFonts w:hAnsi="宋体"/>
        </w:rPr>
        <w:t>二〇二〇年九月</w:t>
      </w:r>
    </w:p>
    <w:p>
      <w:p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</w:p>
    <w:p>
      <w:pPr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38"/>
          <w:pgMar w:top="1440" w:left="1440" w:bottom="1440" w:right="1440" w:header="0" w:footer="0" w:gutter="0"/>
          <w:pgNumType w:fmt="decimal"/>
          <w:docGrid w:type="default" w:linePitch="360" w:charSpace="0"/>
        </w:sectPr>
        <w:jc w:val="center"/>
        <w:spacing w:lineRule="exact" w:line="411"/>
        <w:ind w:right="6" w:firstLine="0"/>
        <w:rPr>
          <w:b w:val="1"/>
          <w:sz w:val="36"/>
          <w:szCs w:val="36"/>
          <w:rFonts w:hAnsi="宋体"/>
        </w:rPr>
      </w:pPr>
    </w:p>
    <w:p>
      <w:pPr>
        <w:pStyle w:val="PO27"/>
        <w:rPr/>
      </w:pPr>
      <w:r>
        <w:rPr>
          <w:color w:val="auto"/>
          <w:sz w:val="36"/>
          <w:szCs w:val="36"/>
          <w:lang w:val="zh-CN"/>
        </w:rPr>
        <w:t>目</w:t>
      </w:r>
      <w:r>
        <w:rPr>
          <w:color w:val="auto"/>
          <w:sz w:val="36"/>
          <w:szCs w:val="36"/>
          <w:rFonts w:hint="eastAsia"/>
          <w:lang w:val="zh-CN"/>
        </w:rPr>
        <w:t xml:space="preserve">  </w:t>
      </w:r>
      <w:r>
        <w:rPr>
          <w:color w:val="auto"/>
          <w:sz w:val="36"/>
          <w:szCs w:val="36"/>
          <w:lang w:val="zh-CN"/>
        </w:rPr>
        <w:t>录</w:t>
      </w:r>
    </w:p>
    <w:p>
      <w:pPr>
        <w:pStyle w:val="PO28"/>
        <w:rPr/>
      </w:pPr>
      <w:r>
        <w:rPr>
          <w:rFonts w:hint="eastAsia"/>
        </w:rPr>
        <w:fldChar w:fldCharType="begin"/>
      </w:r>
      <w:r>
        <w:rPr>
          <w:rFonts w:hint="eastAsia"/>
        </w:rPr>
        <w:instrText> TOC \o "1 - 3" \h \z \u"</w:instrText>
      </w:r>
      <w:r>
        <w:fldChar w:fldCharType="separate"/>
      </w:r>
      <w:r>
        <w:fldChar w:fldCharType="begin"/>
      </w:r>
      <w:r>
        <w:instrText xml:space="preserve">HYPERLINK  \l  "_Toc530555707"</w:instrText>
      </w:r>
      <w:r>
        <w:fldChar w:fldCharType="separate"/>
      </w:r>
      <w:r>
        <w:rPr>
          <w:rStyle w:val="PO156"/>
          <w:b w:val="1"/>
          <w:rFonts w:hint="eastAsia"/>
        </w:rPr>
        <w:t>第</w:t>
      </w:r>
      <w:r>
        <w:rPr>
          <w:rStyle w:val="PO156"/>
          <w:b w:val="1"/>
          <w:rFonts w:hint="eastAsia"/>
        </w:rPr>
        <w:t>一</w:t>
      </w:r>
      <w:r>
        <w:rPr>
          <w:rStyle w:val="PO156"/>
          <w:b w:val="1"/>
          <w:rFonts w:hint="eastAsia"/>
        </w:rPr>
        <w:t>部</w:t>
      </w:r>
      <w:r>
        <w:rPr>
          <w:rStyle w:val="PO156"/>
          <w:b w:val="1"/>
          <w:rFonts w:hint="eastAsia"/>
        </w:rPr>
        <w:t>分</w:t>
      </w:r>
      <w:r>
        <w:rPr>
          <w:rStyle w:val="PO156"/>
          <w:b w:val="1"/>
        </w:rPr>
        <w:t xml:space="preserve"> </w:t>
      </w:r>
      <w:r>
        <w:rPr>
          <w:rStyle w:val="PO156"/>
          <w:b w:val="1"/>
          <w:rFonts w:hint="eastAsia"/>
        </w:rPr>
        <w:t>学</w:t>
      </w:r>
      <w:r>
        <w:rPr>
          <w:rStyle w:val="PO156"/>
          <w:b w:val="1"/>
          <w:rFonts w:hint="eastAsia"/>
        </w:rPr>
        <w:t>校</w:t>
      </w:r>
      <w:r>
        <w:rPr>
          <w:rStyle w:val="PO156"/>
          <w:b w:val="1"/>
          <w:rFonts w:hint="eastAsia"/>
        </w:rPr>
        <w:t>概</w:t>
      </w:r>
      <w:r>
        <w:rPr>
          <w:rStyle w:val="PO156"/>
          <w:b w:val="1"/>
          <w:rFonts w:hint="eastAsia"/>
        </w:rPr>
        <w:t>况</w:t>
      </w:r>
      <w:r>
        <w:rPr/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_Toc530555707 </w:instrText>
      </w:r>
      <w:r>
        <w:rPr>
          <w:rFonts w:hint="eastAsia"/>
        </w:rPr>
        <w:instrText> \* MERGEFORMAT</w:instrText>
      </w:r>
      <w:r>
        <w:fldChar w:fldCharType="separate"/>
      </w:r>
      <w:r>
        <w:rPr/>
        <w:t>2</w:t>
      </w:r>
      <w:r>
        <w:rPr/>
        <w:fldChar w:fldCharType="end"/>
      </w:r>
      <w:r>
        <w:rPr>
          <w:rFonts w:ascii="宋体" w:eastAsia="宋体" w:hAnsi="Calibri"/>
        </w:rPr>
        <w:fldChar w:fldCharType="end"/>
      </w:r>
    </w:p>
    <w:p>
      <w:pPr>
        <w:pStyle w:val="PO28"/>
        <w:rPr/>
      </w:pPr>
      <w:r>
        <w:fldChar w:fldCharType="begin"/>
      </w:r>
      <w:r>
        <w:instrText xml:space="preserve">HYPERLINK  \l  "_Toc530555708"</w:instrText>
      </w:r>
      <w:r>
        <w:fldChar w:fldCharType="separate"/>
      </w:r>
      <w:r>
        <w:rPr>
          <w:rStyle w:val="PO156"/>
          <w:b w:val="1"/>
          <w:rFonts w:hint="eastAsia"/>
        </w:rPr>
        <w:t>第</w:t>
      </w:r>
      <w:r>
        <w:rPr>
          <w:rStyle w:val="PO156"/>
          <w:b w:val="1"/>
          <w:rFonts w:hint="eastAsia"/>
        </w:rPr>
        <w:t>二</w:t>
      </w:r>
      <w:r>
        <w:rPr>
          <w:rStyle w:val="PO156"/>
          <w:b w:val="1"/>
          <w:rFonts w:hint="eastAsia"/>
        </w:rPr>
        <w:t>部</w:t>
      </w:r>
      <w:r>
        <w:rPr>
          <w:rStyle w:val="PO156"/>
          <w:b w:val="1"/>
          <w:rFonts w:hint="eastAsia"/>
        </w:rPr>
        <w:t>分</w:t>
      </w:r>
      <w:r>
        <w:rPr>
          <w:rStyle w:val="PO156"/>
          <w:b w:val="1"/>
        </w:rPr>
        <w:t xml:space="preserve"> </w:t>
      </w:r>
      <w:r>
        <w:rPr>
          <w:rStyle w:val="PO156"/>
          <w:b w:val="1"/>
          <w:rFonts w:hint="eastAsia"/>
        </w:rPr>
        <w:t>学</w:t>
      </w:r>
      <w:r>
        <w:rPr>
          <w:rStyle w:val="PO156"/>
          <w:b w:val="1"/>
          <w:rFonts w:hint="eastAsia"/>
        </w:rPr>
        <w:t>院</w:t>
      </w:r>
      <w:r>
        <w:rPr>
          <w:rStyle w:val="PO156"/>
          <w:b w:val="1"/>
          <w:rFonts w:hint="eastAsia"/>
        </w:rPr>
        <w:t>自</w:t>
      </w:r>
      <w:r>
        <w:rPr>
          <w:rStyle w:val="PO156"/>
          <w:b w:val="1"/>
          <w:rFonts w:hint="eastAsia"/>
        </w:rPr>
        <w:t>评</w:t>
      </w:r>
      <w:r>
        <w:rPr>
          <w:rStyle w:val="PO156"/>
          <w:b w:val="1"/>
          <w:rFonts w:hint="eastAsia"/>
        </w:rPr>
        <w:t>情</w:t>
      </w:r>
      <w:r>
        <w:rPr>
          <w:rStyle w:val="PO156"/>
          <w:b w:val="1"/>
          <w:rFonts w:hint="eastAsia"/>
        </w:rPr>
        <w:t>况</w:t>
      </w:r>
      <w:r>
        <w:rPr/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_Toc530555708 </w:instrText>
      </w:r>
      <w:r>
        <w:rPr>
          <w:rFonts w:hint="eastAsia"/>
        </w:rPr>
        <w:instrText> \* MERGEFORMAT</w:instrText>
      </w:r>
      <w:r>
        <w:fldChar w:fldCharType="separate"/>
      </w:r>
      <w:r>
        <w:rPr/>
        <w:t>3</w:t>
      </w:r>
      <w:r>
        <w:rPr/>
        <w:fldChar w:fldCharType="end"/>
      </w:r>
      <w:r>
        <w:rPr>
          <w:rFonts w:ascii="宋体" w:eastAsia="宋体" w:hAnsi="Calibri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"_Toc530555709"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一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召</w:t>
      </w:r>
      <w:r>
        <w:rPr>
          <w:rStyle w:val="PO156"/>
          <w:rFonts w:ascii="仿宋" w:eastAsia="仿宋" w:hAnsi="仿宋" w:hint="eastAsia"/>
        </w:rPr>
        <w:t>开</w:t>
      </w:r>
      <w:r>
        <w:rPr>
          <w:rStyle w:val="PO156"/>
          <w:rFonts w:ascii="仿宋" w:eastAsia="仿宋" w:hAnsi="仿宋" w:hint="eastAsia"/>
        </w:rPr>
        <w:t>自</w:t>
      </w:r>
      <w:r>
        <w:rPr>
          <w:rStyle w:val="PO156"/>
          <w:rFonts w:ascii="仿宋" w:eastAsia="仿宋" w:hAnsi="仿宋" w:hint="eastAsia"/>
        </w:rPr>
        <w:t>评</w:t>
      </w:r>
      <w:r>
        <w:rPr>
          <w:rStyle w:val="PO156"/>
          <w:rFonts w:ascii="仿宋" w:eastAsia="仿宋" w:hAnsi="仿宋" w:hint="eastAsia"/>
        </w:rPr>
        <w:t>会</w:t>
      </w:r>
      <w:r>
        <w:rPr>
          <w:rStyle w:val="PO156"/>
          <w:rFonts w:ascii="仿宋" w:eastAsia="仿宋" w:hAnsi="仿宋" w:hint="eastAsia"/>
        </w:rPr>
        <w:t>议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明</w:t>
      </w:r>
      <w:r>
        <w:rPr>
          <w:rStyle w:val="PO156"/>
          <w:rFonts w:ascii="仿宋" w:eastAsia="仿宋" w:hAnsi="仿宋" w:hint="eastAsia"/>
        </w:rPr>
        <w:t>确</w:t>
      </w:r>
      <w:r>
        <w:rPr>
          <w:rStyle w:val="PO156"/>
          <w:rFonts w:ascii="仿宋" w:eastAsia="仿宋" w:hAnsi="仿宋" w:hint="eastAsia"/>
        </w:rPr>
        <w:t>部</w:t>
      </w:r>
      <w:r>
        <w:rPr>
          <w:rStyle w:val="PO156"/>
          <w:rFonts w:ascii="仿宋" w:eastAsia="仿宋" w:hAnsi="仿宋" w:hint="eastAsia"/>
        </w:rPr>
        <w:t>门</w:t>
      </w:r>
      <w:r>
        <w:rPr>
          <w:rStyle w:val="PO156"/>
          <w:rFonts w:ascii="仿宋" w:eastAsia="仿宋" w:hAnsi="仿宋" w:hint="eastAsia"/>
        </w:rPr>
        <w:t>职</w:t>
      </w:r>
      <w:r>
        <w:rPr>
          <w:rStyle w:val="PO156"/>
          <w:rFonts w:ascii="仿宋" w:eastAsia="仿宋" w:hAnsi="仿宋" w:hint="eastAsia"/>
        </w:rPr>
        <w:t>责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_Toc530555709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3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"_Toc530555710"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二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加</w:t>
      </w:r>
      <w:r>
        <w:rPr>
          <w:rStyle w:val="PO156"/>
          <w:rFonts w:ascii="仿宋" w:eastAsia="仿宋" w:hAnsi="仿宋" w:hint="eastAsia"/>
        </w:rPr>
        <w:t>强</w:t>
      </w:r>
      <w:r>
        <w:rPr>
          <w:rStyle w:val="PO156"/>
          <w:rFonts w:ascii="仿宋" w:eastAsia="仿宋" w:hAnsi="仿宋" w:hint="eastAsia"/>
        </w:rPr>
        <w:t>政</w:t>
      </w:r>
      <w:r>
        <w:rPr>
          <w:rStyle w:val="PO156"/>
          <w:rFonts w:ascii="仿宋" w:eastAsia="仿宋" w:hAnsi="仿宋" w:hint="eastAsia"/>
        </w:rPr>
        <w:t>策</w:t>
      </w:r>
      <w:r>
        <w:rPr>
          <w:rStyle w:val="PO156"/>
          <w:rFonts w:ascii="仿宋" w:eastAsia="仿宋" w:hAnsi="仿宋" w:hint="eastAsia"/>
        </w:rPr>
        <w:t>解</w:t>
      </w:r>
      <w:r>
        <w:rPr>
          <w:rStyle w:val="PO156"/>
          <w:rFonts w:ascii="仿宋" w:eastAsia="仿宋" w:hAnsi="仿宋" w:hint="eastAsia"/>
        </w:rPr>
        <w:t>读</w:t>
      </w:r>
      <w:r>
        <w:rPr>
          <w:rStyle w:val="PO156"/>
          <w:rFonts w:ascii="仿宋" w:eastAsia="仿宋" w:hAnsi="仿宋" w:hint="eastAsia"/>
        </w:rPr>
        <w:t>，</w:t>
      </w:r>
      <w:r>
        <w:rPr>
          <w:rStyle w:val="PO156"/>
          <w:rFonts w:ascii="仿宋" w:eastAsia="仿宋" w:hAnsi="仿宋" w:hint="eastAsia"/>
        </w:rPr>
        <w:t>确</w:t>
      </w:r>
      <w:r>
        <w:rPr>
          <w:rStyle w:val="PO156"/>
          <w:rFonts w:ascii="仿宋" w:eastAsia="仿宋" w:hAnsi="仿宋" w:hint="eastAsia"/>
        </w:rPr>
        <w:t>保</w:t>
      </w:r>
      <w:r>
        <w:rPr>
          <w:rStyle w:val="PO156"/>
          <w:rFonts w:ascii="仿宋" w:eastAsia="仿宋" w:hAnsi="仿宋" w:hint="eastAsia"/>
        </w:rPr>
        <w:t>自</w:t>
      </w:r>
      <w:r>
        <w:rPr>
          <w:rStyle w:val="PO156"/>
          <w:rFonts w:ascii="仿宋" w:eastAsia="仿宋" w:hAnsi="仿宋" w:hint="eastAsia"/>
        </w:rPr>
        <w:t>评</w:t>
      </w:r>
      <w:r>
        <w:rPr>
          <w:rStyle w:val="PO156"/>
          <w:rFonts w:ascii="仿宋" w:eastAsia="仿宋" w:hAnsi="仿宋" w:hint="eastAsia"/>
        </w:rPr>
        <w:t>质</w:t>
      </w:r>
      <w:r>
        <w:rPr>
          <w:rStyle w:val="PO156"/>
          <w:rFonts w:ascii="仿宋" w:eastAsia="仿宋" w:hAnsi="仿宋" w:hint="eastAsia"/>
        </w:rPr>
        <w:t>量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_Toc530555710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3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"_Toc530555711"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三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认</w:t>
      </w:r>
      <w:r>
        <w:rPr>
          <w:rStyle w:val="PO156"/>
          <w:rFonts w:ascii="仿宋" w:eastAsia="仿宋" w:hAnsi="仿宋" w:hint="eastAsia"/>
        </w:rPr>
        <w:t>真</w:t>
      </w:r>
      <w:r>
        <w:rPr>
          <w:rStyle w:val="PO156"/>
          <w:rFonts w:ascii="仿宋" w:eastAsia="仿宋" w:hAnsi="仿宋" w:hint="eastAsia"/>
        </w:rPr>
        <w:t>自</w:t>
      </w:r>
      <w:r>
        <w:rPr>
          <w:rStyle w:val="PO156"/>
          <w:rFonts w:ascii="仿宋" w:eastAsia="仿宋" w:hAnsi="仿宋" w:hint="eastAsia"/>
        </w:rPr>
        <w:t>查</w:t>
      </w:r>
      <w:r>
        <w:rPr>
          <w:rStyle w:val="PO156"/>
          <w:rFonts w:ascii="仿宋" w:eastAsia="仿宋" w:hAnsi="仿宋" w:hint="eastAsia"/>
        </w:rPr>
        <w:t>，</w:t>
      </w:r>
      <w:r>
        <w:rPr>
          <w:rStyle w:val="PO156"/>
          <w:rFonts w:ascii="仿宋" w:eastAsia="仿宋" w:hAnsi="仿宋" w:hint="eastAsia"/>
        </w:rPr>
        <w:t>提</w:t>
      </w:r>
      <w:r>
        <w:rPr>
          <w:rStyle w:val="PO156"/>
          <w:rFonts w:ascii="仿宋" w:eastAsia="仿宋" w:hAnsi="仿宋" w:hint="eastAsia"/>
        </w:rPr>
        <w:t>出</w:t>
      </w:r>
      <w:r>
        <w:rPr>
          <w:rStyle w:val="PO156"/>
          <w:rFonts w:ascii="仿宋" w:eastAsia="仿宋" w:hAnsi="仿宋" w:hint="eastAsia"/>
        </w:rPr>
        <w:t>整</w:t>
      </w:r>
      <w:r>
        <w:rPr>
          <w:rStyle w:val="PO156"/>
          <w:rFonts w:ascii="仿宋" w:eastAsia="仿宋" w:hAnsi="仿宋" w:hint="eastAsia"/>
        </w:rPr>
        <w:t>改</w:t>
      </w:r>
      <w:r>
        <w:rPr>
          <w:rStyle w:val="PO156"/>
          <w:rFonts w:ascii="仿宋" w:eastAsia="仿宋" w:hAnsi="仿宋" w:hint="eastAsia"/>
        </w:rPr>
        <w:t>措</w:t>
      </w:r>
      <w:r>
        <w:rPr>
          <w:rStyle w:val="PO156"/>
          <w:rFonts w:ascii="仿宋" w:eastAsia="仿宋" w:hAnsi="仿宋" w:hint="eastAsia"/>
        </w:rPr>
        <w:t>施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_Toc530555711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4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28"/>
        <w:rPr/>
      </w:pPr>
      <w:r>
        <w:fldChar w:fldCharType="begin"/>
      </w:r>
      <w:r>
        <w:instrText xml:space="preserve">HYPERLINK  \l  "_Toc530555712"</w:instrText>
      </w:r>
      <w:r>
        <w:fldChar w:fldCharType="separate"/>
      </w:r>
      <w:r>
        <w:rPr>
          <w:rStyle w:val="PO156"/>
          <w:b w:val="1"/>
          <w:rFonts w:hint="eastAsia"/>
        </w:rPr>
        <w:t>第</w:t>
      </w:r>
      <w:r>
        <w:rPr>
          <w:rStyle w:val="PO156"/>
          <w:b w:val="1"/>
          <w:rFonts w:hint="eastAsia"/>
        </w:rPr>
        <w:t>三</w:t>
      </w:r>
      <w:r>
        <w:rPr>
          <w:rStyle w:val="PO156"/>
          <w:b w:val="1"/>
          <w:rFonts w:hint="eastAsia"/>
        </w:rPr>
        <w:t>部</w:t>
      </w:r>
      <w:r>
        <w:rPr>
          <w:rStyle w:val="PO156"/>
          <w:b w:val="1"/>
          <w:rFonts w:hint="eastAsia"/>
        </w:rPr>
        <w:t>分</w:t>
      </w:r>
      <w:r>
        <w:rPr>
          <w:rStyle w:val="PO156"/>
          <w:b w:val="1"/>
        </w:rPr>
        <w:t xml:space="preserve"> </w:t>
      </w:r>
      <w:r>
        <w:rPr>
          <w:rStyle w:val="PO156"/>
          <w:b w:val="1"/>
          <w:rFonts w:hint="eastAsia"/>
        </w:rPr>
        <w:t>办</w:t>
      </w:r>
      <w:r>
        <w:rPr>
          <w:rStyle w:val="PO156"/>
          <w:b w:val="1"/>
          <w:rFonts w:hint="eastAsia"/>
        </w:rPr>
        <w:t>学</w:t>
      </w:r>
      <w:r>
        <w:rPr>
          <w:rStyle w:val="PO156"/>
          <w:b w:val="1"/>
          <w:rFonts w:hint="eastAsia"/>
        </w:rPr>
        <w:t>基</w:t>
      </w:r>
      <w:r>
        <w:rPr>
          <w:rStyle w:val="PO156"/>
          <w:b w:val="1"/>
          <w:rFonts w:hint="eastAsia"/>
        </w:rPr>
        <w:t>础</w:t>
      </w:r>
      <w:r>
        <w:rPr>
          <w:rStyle w:val="PO156"/>
          <w:b w:val="1"/>
          <w:rFonts w:hint="eastAsia"/>
        </w:rPr>
        <w:t>条</w:t>
      </w:r>
      <w:r>
        <w:rPr>
          <w:rStyle w:val="PO156"/>
          <w:b w:val="1"/>
          <w:rFonts w:hint="eastAsia"/>
        </w:rPr>
        <w:t>件</w:t>
      </w:r>
      <w:r>
        <w:rPr/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_Toc530555712 </w:instrText>
      </w:r>
      <w:r>
        <w:rPr>
          <w:rFonts w:hint="eastAsia"/>
        </w:rPr>
        <w:instrText> \* MERGEFORMAT</w:instrText>
      </w:r>
      <w:r>
        <w:fldChar w:fldCharType="separate"/>
      </w:r>
      <w:r>
        <w:rPr/>
        <w:t>4</w:t>
      </w:r>
      <w:r>
        <w:rPr/>
        <w:fldChar w:fldCharType="end"/>
      </w:r>
      <w:r>
        <w:rPr>
          <w:rFonts w:ascii="宋体" w:eastAsia="宋体" w:hAnsi="Calibri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"_Toc530555713"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一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基</w:t>
      </w:r>
      <w:r>
        <w:rPr>
          <w:rStyle w:val="PO156"/>
          <w:rFonts w:ascii="仿宋" w:eastAsia="仿宋" w:hAnsi="仿宋" w:hint="eastAsia"/>
        </w:rPr>
        <w:t>础</w:t>
      </w:r>
      <w:r>
        <w:rPr>
          <w:rStyle w:val="PO156"/>
          <w:rFonts w:ascii="仿宋" w:eastAsia="仿宋" w:hAnsi="仿宋" w:hint="eastAsia"/>
        </w:rPr>
        <w:t>办</w:t>
      </w:r>
      <w:r>
        <w:rPr>
          <w:rStyle w:val="PO156"/>
          <w:rFonts w:ascii="仿宋" w:eastAsia="仿宋" w:hAnsi="仿宋" w:hint="eastAsia"/>
        </w:rPr>
        <w:t>学</w:t>
      </w:r>
      <w:r>
        <w:rPr>
          <w:rStyle w:val="PO156"/>
          <w:rFonts w:ascii="仿宋" w:eastAsia="仿宋" w:hAnsi="仿宋" w:hint="eastAsia"/>
        </w:rPr>
        <w:t>条</w:t>
      </w:r>
      <w:r>
        <w:rPr>
          <w:rStyle w:val="PO156"/>
          <w:rFonts w:ascii="仿宋" w:eastAsia="仿宋" w:hAnsi="仿宋" w:hint="eastAsia"/>
        </w:rPr>
        <w:t>件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_Toc530555713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4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"_Toc530555714"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二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师</w:t>
      </w:r>
      <w:r>
        <w:rPr>
          <w:rStyle w:val="PO156"/>
          <w:rFonts w:ascii="仿宋" w:eastAsia="仿宋" w:hAnsi="仿宋" w:hint="eastAsia"/>
        </w:rPr>
        <w:t>资</w:t>
      </w:r>
      <w:r>
        <w:rPr>
          <w:rStyle w:val="PO156"/>
          <w:rFonts w:ascii="仿宋" w:eastAsia="仿宋" w:hAnsi="仿宋" w:hint="eastAsia"/>
        </w:rPr>
        <w:t>队</w:t>
      </w:r>
      <w:r>
        <w:rPr>
          <w:rStyle w:val="PO156"/>
          <w:rFonts w:ascii="仿宋" w:eastAsia="仿宋" w:hAnsi="仿宋" w:hint="eastAsia"/>
        </w:rPr>
        <w:t>伍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_Toc530555714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5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"_Toc530555715"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三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信</w:t>
      </w:r>
      <w:r>
        <w:rPr>
          <w:rStyle w:val="PO156"/>
          <w:rFonts w:ascii="仿宋" w:eastAsia="仿宋" w:hAnsi="仿宋" w:hint="eastAsia"/>
        </w:rPr>
        <w:t>息</w:t>
      </w:r>
      <w:r>
        <w:rPr>
          <w:rStyle w:val="PO156"/>
          <w:rFonts w:ascii="仿宋" w:eastAsia="仿宋" w:hAnsi="仿宋" w:hint="eastAsia"/>
        </w:rPr>
        <w:t>化</w:t>
      </w:r>
      <w:r>
        <w:rPr>
          <w:rStyle w:val="PO156"/>
          <w:rFonts w:ascii="仿宋" w:eastAsia="仿宋" w:hAnsi="仿宋" w:hint="eastAsia"/>
        </w:rPr>
        <w:t>教</w:t>
      </w:r>
      <w:r>
        <w:rPr>
          <w:rStyle w:val="PO156"/>
          <w:rFonts w:ascii="仿宋" w:eastAsia="仿宋" w:hAnsi="仿宋" w:hint="eastAsia"/>
        </w:rPr>
        <w:t>学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_Toc530555715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6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"_Toc530555716"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四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校</w:t>
      </w:r>
      <w:r>
        <w:rPr>
          <w:rStyle w:val="PO156"/>
          <w:rFonts w:ascii="仿宋" w:eastAsia="仿宋" w:hAnsi="仿宋" w:hint="eastAsia"/>
        </w:rPr>
        <w:t>内</w:t>
      </w:r>
      <w:r>
        <w:rPr>
          <w:rStyle w:val="PO156"/>
          <w:rFonts w:ascii="仿宋" w:eastAsia="仿宋" w:hAnsi="仿宋" w:hint="eastAsia"/>
        </w:rPr>
        <w:t>外</w:t>
      </w:r>
      <w:r>
        <w:rPr>
          <w:rStyle w:val="PO156"/>
          <w:rFonts w:ascii="仿宋" w:eastAsia="仿宋" w:hAnsi="仿宋" w:hint="eastAsia"/>
        </w:rPr>
        <w:t>实</w:t>
      </w:r>
      <w:r>
        <w:rPr>
          <w:rStyle w:val="PO156"/>
          <w:rFonts w:ascii="仿宋" w:eastAsia="仿宋" w:hAnsi="仿宋" w:hint="eastAsia"/>
        </w:rPr>
        <w:t>训</w:t>
      </w:r>
      <w:r>
        <w:rPr>
          <w:rStyle w:val="PO156"/>
          <w:rFonts w:ascii="仿宋" w:eastAsia="仿宋" w:hAnsi="仿宋" w:hint="eastAsia"/>
        </w:rPr>
        <w:t>基</w:t>
      </w:r>
      <w:r>
        <w:rPr>
          <w:rStyle w:val="PO156"/>
          <w:rFonts w:ascii="仿宋" w:eastAsia="仿宋" w:hAnsi="仿宋" w:hint="eastAsia"/>
        </w:rPr>
        <w:t>地</w:t>
      </w:r>
      <w:r>
        <w:rPr>
          <w:rStyle w:val="PO156"/>
          <w:rFonts w:ascii="仿宋" w:eastAsia="仿宋" w:hAnsi="仿宋" w:hint="eastAsia"/>
        </w:rPr>
        <w:t>建</w:t>
      </w:r>
      <w:r>
        <w:rPr>
          <w:rStyle w:val="PO156"/>
          <w:rFonts w:ascii="仿宋" w:eastAsia="仿宋" w:hAnsi="仿宋" w:hint="eastAsia"/>
        </w:rPr>
        <w:t>设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_Toc530555716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7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28"/>
        <w:rPr/>
      </w:pPr>
      <w:r>
        <w:fldChar w:fldCharType="begin"/>
      </w:r>
      <w:r>
        <w:instrText xml:space="preserve">HYPERLINK  \l  "_Toc530555717"</w:instrText>
      </w:r>
      <w:r>
        <w:fldChar w:fldCharType="separate"/>
      </w:r>
      <w:r>
        <w:rPr>
          <w:rStyle w:val="PO156"/>
          <w:b w:val="1"/>
          <w:rFonts w:hint="eastAsia"/>
        </w:rPr>
        <w:t>第</w:t>
      </w:r>
      <w:r>
        <w:rPr>
          <w:rStyle w:val="PO156"/>
          <w:b w:val="1"/>
          <w:rFonts w:hint="eastAsia"/>
        </w:rPr>
        <w:t>四</w:t>
      </w:r>
      <w:r>
        <w:rPr>
          <w:rStyle w:val="PO156"/>
          <w:b w:val="1"/>
          <w:rFonts w:hint="eastAsia"/>
        </w:rPr>
        <w:t>部</w:t>
      </w:r>
      <w:r>
        <w:rPr>
          <w:rStyle w:val="PO156"/>
          <w:b w:val="1"/>
          <w:rFonts w:hint="eastAsia"/>
        </w:rPr>
        <w:t>分</w:t>
      </w:r>
      <w:r>
        <w:rPr>
          <w:rStyle w:val="PO156"/>
          <w:b w:val="1"/>
        </w:rPr>
        <w:t xml:space="preserve"> </w:t>
      </w:r>
      <w:r>
        <w:rPr>
          <w:rStyle w:val="PO156"/>
          <w:b w:val="1"/>
          <w:rFonts w:hint="eastAsia"/>
        </w:rPr>
        <w:t>人</w:t>
      </w:r>
      <w:r>
        <w:rPr>
          <w:rStyle w:val="PO156"/>
          <w:b w:val="1"/>
          <w:rFonts w:hint="eastAsia"/>
        </w:rPr>
        <w:t>才</w:t>
      </w:r>
      <w:r>
        <w:rPr>
          <w:rStyle w:val="PO156"/>
          <w:b w:val="1"/>
          <w:rFonts w:hint="eastAsia"/>
        </w:rPr>
        <w:t>培</w:t>
      </w:r>
      <w:r>
        <w:rPr>
          <w:rStyle w:val="PO156"/>
          <w:b w:val="1"/>
          <w:rFonts w:hint="eastAsia"/>
        </w:rPr>
        <w:t>养</w:t>
      </w:r>
      <w:r>
        <w:rPr/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_Toc530555717 </w:instrText>
      </w:r>
      <w:r>
        <w:rPr>
          <w:rFonts w:hint="eastAsia"/>
        </w:rPr>
        <w:instrText> \* MERGEFORMAT</w:instrText>
      </w:r>
      <w:r>
        <w:fldChar w:fldCharType="separate"/>
      </w:r>
      <w:r>
        <w:rPr/>
        <w:t>8</w:t>
      </w:r>
      <w:r>
        <w:rPr/>
        <w:fldChar w:fldCharType="end"/>
      </w:r>
      <w:r>
        <w:rPr>
          <w:rFonts w:ascii="宋体" w:eastAsia="宋体" w:hAnsi="Calibri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"_Toc530555718"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一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专</w:t>
      </w:r>
      <w:r>
        <w:rPr>
          <w:rStyle w:val="PO156"/>
          <w:rFonts w:ascii="仿宋" w:eastAsia="仿宋" w:hAnsi="仿宋" w:hint="eastAsia"/>
        </w:rPr>
        <w:t>业</w:t>
      </w:r>
      <w:r>
        <w:rPr>
          <w:rStyle w:val="PO156"/>
          <w:rFonts w:ascii="仿宋" w:eastAsia="仿宋" w:hAnsi="仿宋" w:hint="eastAsia"/>
        </w:rPr>
        <w:t>设</w:t>
      </w:r>
      <w:r>
        <w:rPr>
          <w:rStyle w:val="PO156"/>
          <w:rFonts w:ascii="仿宋" w:eastAsia="仿宋" w:hAnsi="仿宋" w:hint="eastAsia"/>
        </w:rPr>
        <w:t>置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_Toc530555718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8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"_Toc530555719"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二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专</w:t>
      </w:r>
      <w:r>
        <w:rPr>
          <w:rStyle w:val="PO156"/>
          <w:rFonts w:ascii="仿宋" w:eastAsia="仿宋" w:hAnsi="仿宋" w:hint="eastAsia"/>
        </w:rPr>
        <w:t>业</w:t>
      </w:r>
      <w:r>
        <w:rPr>
          <w:rStyle w:val="PO156"/>
          <w:rFonts w:ascii="仿宋" w:eastAsia="仿宋" w:hAnsi="仿宋" w:hint="eastAsia"/>
        </w:rPr>
        <w:t>与</w:t>
      </w:r>
      <w:r>
        <w:rPr>
          <w:rStyle w:val="PO156"/>
          <w:rFonts w:ascii="仿宋" w:eastAsia="仿宋" w:hAnsi="仿宋" w:hint="eastAsia"/>
        </w:rPr>
        <w:t>当</w:t>
      </w:r>
      <w:r>
        <w:rPr>
          <w:rStyle w:val="PO156"/>
          <w:rFonts w:ascii="仿宋" w:eastAsia="仿宋" w:hAnsi="仿宋" w:hint="eastAsia"/>
        </w:rPr>
        <w:t>地</w:t>
      </w:r>
      <w:r>
        <w:rPr>
          <w:rStyle w:val="PO156"/>
          <w:rFonts w:ascii="仿宋" w:eastAsia="仿宋" w:hAnsi="仿宋" w:hint="eastAsia"/>
        </w:rPr>
        <w:t>产</w:t>
      </w:r>
      <w:r>
        <w:rPr>
          <w:rStyle w:val="PO156"/>
          <w:rFonts w:ascii="仿宋" w:eastAsia="仿宋" w:hAnsi="仿宋" w:hint="eastAsia"/>
        </w:rPr>
        <w:t>业</w:t>
      </w:r>
      <w:r>
        <w:rPr>
          <w:rStyle w:val="PO156"/>
          <w:rFonts w:ascii="仿宋" w:eastAsia="仿宋" w:hAnsi="仿宋" w:hint="eastAsia"/>
        </w:rPr>
        <w:t>匹</w:t>
      </w:r>
      <w:r>
        <w:rPr>
          <w:rStyle w:val="PO156"/>
          <w:rFonts w:ascii="仿宋" w:eastAsia="仿宋" w:hAnsi="仿宋" w:hint="eastAsia"/>
        </w:rPr>
        <w:t>配</w:t>
      </w:r>
      <w:r>
        <w:rPr>
          <w:rStyle w:val="PO156"/>
          <w:rFonts w:ascii="仿宋" w:eastAsia="仿宋" w:hAnsi="仿宋" w:hint="eastAsia"/>
        </w:rPr>
        <w:t>度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_Toc530555719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10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"_Toc530555720"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三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校</w:t>
      </w:r>
      <w:r>
        <w:rPr>
          <w:rStyle w:val="PO156"/>
          <w:rFonts w:ascii="仿宋" w:eastAsia="仿宋" w:hAnsi="仿宋" w:hint="eastAsia"/>
        </w:rPr>
        <w:t>企</w:t>
      </w:r>
      <w:r>
        <w:rPr>
          <w:rStyle w:val="PO156"/>
          <w:rFonts w:ascii="仿宋" w:eastAsia="仿宋" w:hAnsi="仿宋" w:hint="eastAsia"/>
        </w:rPr>
        <w:t>合</w:t>
      </w:r>
      <w:r>
        <w:rPr>
          <w:rStyle w:val="PO156"/>
          <w:rFonts w:ascii="仿宋" w:eastAsia="仿宋" w:hAnsi="仿宋" w:hint="eastAsia"/>
        </w:rPr>
        <w:t>作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_Toc530555720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10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"_Toc530555721"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四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课</w:t>
      </w:r>
      <w:r>
        <w:rPr>
          <w:rStyle w:val="PO156"/>
          <w:rFonts w:ascii="仿宋" w:eastAsia="仿宋" w:hAnsi="仿宋" w:hint="eastAsia"/>
        </w:rPr>
        <w:t>程</w:t>
      </w:r>
      <w:r>
        <w:rPr>
          <w:rStyle w:val="PO156"/>
          <w:rFonts w:ascii="仿宋" w:eastAsia="仿宋" w:hAnsi="仿宋" w:hint="eastAsia"/>
        </w:rPr>
        <w:t>开</w:t>
      </w:r>
      <w:r>
        <w:rPr>
          <w:rStyle w:val="PO156"/>
          <w:rFonts w:ascii="仿宋" w:eastAsia="仿宋" w:hAnsi="仿宋" w:hint="eastAsia"/>
        </w:rPr>
        <w:t>设</w:t>
      </w:r>
      <w:r>
        <w:rPr>
          <w:rStyle w:val="PO156"/>
          <w:rFonts w:ascii="仿宋" w:eastAsia="仿宋" w:hAnsi="仿宋" w:hint="eastAsia"/>
        </w:rPr>
        <w:t>结</w:t>
      </w:r>
      <w:r>
        <w:rPr>
          <w:rStyle w:val="PO156"/>
          <w:rFonts w:ascii="仿宋" w:eastAsia="仿宋" w:hAnsi="仿宋" w:hint="eastAsia"/>
        </w:rPr>
        <w:t>构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_Toc530555721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11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"_Toc530555722"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五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校</w:t>
      </w:r>
      <w:r>
        <w:rPr>
          <w:rStyle w:val="PO156"/>
          <w:rFonts w:ascii="仿宋" w:eastAsia="仿宋" w:hAnsi="仿宋" w:hint="eastAsia"/>
        </w:rPr>
        <w:t>内</w:t>
      </w:r>
      <w:r>
        <w:rPr>
          <w:rStyle w:val="PO156"/>
          <w:rFonts w:ascii="仿宋" w:eastAsia="仿宋" w:hAnsi="仿宋" w:hint="eastAsia"/>
        </w:rPr>
        <w:t>实</w:t>
      </w:r>
      <w:r>
        <w:rPr>
          <w:rStyle w:val="PO156"/>
          <w:rFonts w:ascii="仿宋" w:eastAsia="仿宋" w:hAnsi="仿宋" w:hint="eastAsia"/>
        </w:rPr>
        <w:t>践</w:t>
      </w:r>
      <w:r>
        <w:rPr>
          <w:rStyle w:val="PO156"/>
          <w:rFonts w:ascii="仿宋" w:eastAsia="仿宋" w:hAnsi="仿宋" w:hint="eastAsia"/>
        </w:rPr>
        <w:t>基</w:t>
      </w:r>
      <w:r>
        <w:rPr>
          <w:rStyle w:val="PO156"/>
          <w:rFonts w:ascii="仿宋" w:eastAsia="仿宋" w:hAnsi="仿宋" w:hint="eastAsia"/>
        </w:rPr>
        <w:t>地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_Toc530555722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12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"_Toc530555723"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六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校</w:t>
      </w:r>
      <w:r>
        <w:rPr>
          <w:rStyle w:val="PO156"/>
          <w:rFonts w:ascii="仿宋" w:eastAsia="仿宋" w:hAnsi="仿宋" w:hint="eastAsia"/>
        </w:rPr>
        <w:t>外</w:t>
      </w:r>
      <w:r>
        <w:rPr>
          <w:rStyle w:val="PO156"/>
          <w:rFonts w:ascii="仿宋" w:eastAsia="仿宋" w:hAnsi="仿宋" w:hint="eastAsia"/>
        </w:rPr>
        <w:t>实</w:t>
      </w:r>
      <w:r>
        <w:rPr>
          <w:rStyle w:val="PO156"/>
          <w:rFonts w:ascii="仿宋" w:eastAsia="仿宋" w:hAnsi="仿宋" w:hint="eastAsia"/>
        </w:rPr>
        <w:t>践</w:t>
      </w:r>
      <w:r>
        <w:rPr>
          <w:rStyle w:val="PO156"/>
          <w:rFonts w:ascii="仿宋" w:eastAsia="仿宋" w:hAnsi="仿宋" w:hint="eastAsia"/>
        </w:rPr>
        <w:t>教</w:t>
      </w:r>
      <w:r>
        <w:rPr>
          <w:rStyle w:val="PO156"/>
          <w:rFonts w:ascii="仿宋" w:eastAsia="仿宋" w:hAnsi="仿宋" w:hint="eastAsia"/>
        </w:rPr>
        <w:t>学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_Toc530555723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12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28"/>
        <w:rPr/>
      </w:pPr>
      <w:r>
        <w:fldChar w:fldCharType="begin"/>
      </w:r>
      <w:r>
        <w:instrText xml:space="preserve">HYPERLINK  \l  "_Toc530555724"</w:instrText>
      </w:r>
      <w:r>
        <w:fldChar w:fldCharType="separate"/>
      </w:r>
      <w:r>
        <w:rPr>
          <w:rStyle w:val="PO156"/>
          <w:b w:val="1"/>
          <w:rFonts w:hint="eastAsia"/>
        </w:rPr>
        <w:t>第</w:t>
      </w:r>
      <w:r>
        <w:rPr>
          <w:rStyle w:val="PO156"/>
          <w:b w:val="1"/>
          <w:rFonts w:hint="eastAsia"/>
        </w:rPr>
        <w:t>五</w:t>
      </w:r>
      <w:r>
        <w:rPr>
          <w:rStyle w:val="PO156"/>
          <w:b w:val="1"/>
          <w:rFonts w:hint="eastAsia"/>
        </w:rPr>
        <w:t>部</w:t>
      </w:r>
      <w:r>
        <w:rPr>
          <w:rStyle w:val="PO156"/>
          <w:b w:val="1"/>
          <w:rFonts w:hint="eastAsia"/>
        </w:rPr>
        <w:t>分</w:t>
      </w:r>
      <w:r>
        <w:rPr>
          <w:rStyle w:val="PO156"/>
          <w:b w:val="1"/>
        </w:rPr>
        <w:t xml:space="preserve"> </w:t>
      </w:r>
      <w:r>
        <w:rPr>
          <w:rStyle w:val="PO156"/>
          <w:b w:val="1"/>
          <w:rFonts w:hint="eastAsia"/>
        </w:rPr>
        <w:t>学</w:t>
      </w:r>
      <w:r>
        <w:rPr>
          <w:rStyle w:val="PO156"/>
          <w:b w:val="1"/>
          <w:rFonts w:hint="eastAsia"/>
        </w:rPr>
        <w:t>生</w:t>
      </w:r>
      <w:r>
        <w:rPr>
          <w:rStyle w:val="PO156"/>
          <w:b w:val="1"/>
          <w:rFonts w:hint="eastAsia"/>
        </w:rPr>
        <w:t>发</w:t>
      </w:r>
      <w:r>
        <w:rPr>
          <w:rStyle w:val="PO156"/>
          <w:b w:val="1"/>
          <w:rFonts w:hint="eastAsia"/>
        </w:rPr>
        <w:t>展</w:t>
      </w:r>
      <w:r>
        <w:rPr/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_Toc530555724 </w:instrText>
      </w:r>
      <w:r>
        <w:rPr>
          <w:rFonts w:hint="eastAsia"/>
        </w:rPr>
        <w:instrText> \* MERGEFORMAT</w:instrText>
      </w:r>
      <w:r>
        <w:fldChar w:fldCharType="separate"/>
      </w:r>
      <w:r>
        <w:rPr/>
        <w:t>13</w:t>
      </w:r>
      <w:r>
        <w:rPr/>
        <w:fldChar w:fldCharType="end"/>
      </w:r>
      <w:r>
        <w:rPr>
          <w:rFonts w:ascii="宋体" w:eastAsia="宋体" w:hAnsi="Calibri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"_Toc530555725"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一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招</w:t>
      </w:r>
      <w:r>
        <w:rPr>
          <w:rStyle w:val="PO156"/>
          <w:rFonts w:ascii="仿宋" w:eastAsia="仿宋" w:hAnsi="仿宋" w:hint="eastAsia"/>
        </w:rPr>
        <w:t>生</w:t>
      </w:r>
      <w:r>
        <w:rPr>
          <w:rStyle w:val="PO156"/>
          <w:rFonts w:ascii="仿宋" w:eastAsia="仿宋" w:hAnsi="仿宋" w:hint="eastAsia"/>
        </w:rPr>
        <w:t>情</w:t>
      </w:r>
      <w:r>
        <w:rPr>
          <w:rStyle w:val="PO156"/>
          <w:rFonts w:ascii="仿宋" w:eastAsia="仿宋" w:hAnsi="仿宋" w:hint="eastAsia"/>
        </w:rPr>
        <w:t>况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_Toc530555725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13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"_Toc530555726"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二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就</w:t>
      </w:r>
      <w:r>
        <w:rPr>
          <w:rStyle w:val="PO156"/>
          <w:rFonts w:ascii="仿宋" w:eastAsia="仿宋" w:hAnsi="仿宋" w:hint="eastAsia"/>
        </w:rPr>
        <w:t>业</w:t>
      </w:r>
      <w:r>
        <w:rPr>
          <w:rStyle w:val="PO156"/>
          <w:rFonts w:ascii="仿宋" w:eastAsia="仿宋" w:hAnsi="仿宋" w:hint="eastAsia"/>
        </w:rPr>
        <w:t>情</w:t>
      </w:r>
      <w:r>
        <w:rPr>
          <w:rStyle w:val="PO156"/>
          <w:rFonts w:ascii="仿宋" w:eastAsia="仿宋" w:hAnsi="仿宋" w:hint="eastAsia"/>
        </w:rPr>
        <w:t>况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_Toc530555726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13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"_Toc530555727"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三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毕</w:t>
      </w:r>
      <w:r>
        <w:rPr>
          <w:rStyle w:val="PO156"/>
          <w:rFonts w:ascii="仿宋" w:eastAsia="仿宋" w:hAnsi="仿宋" w:hint="eastAsia"/>
        </w:rPr>
        <w:t>业</w:t>
      </w:r>
      <w:r>
        <w:rPr>
          <w:rStyle w:val="PO156"/>
          <w:rFonts w:ascii="仿宋" w:eastAsia="仿宋" w:hAnsi="仿宋" w:hint="eastAsia"/>
        </w:rPr>
        <w:t>生</w:t>
      </w:r>
      <w:r>
        <w:rPr>
          <w:rStyle w:val="PO156"/>
          <w:rFonts w:ascii="仿宋" w:eastAsia="仿宋" w:hAnsi="仿宋" w:hint="eastAsia"/>
        </w:rPr>
        <w:t>职</w:t>
      </w:r>
      <w:r>
        <w:rPr>
          <w:rStyle w:val="PO156"/>
          <w:rFonts w:ascii="仿宋" w:eastAsia="仿宋" w:hAnsi="仿宋" w:hint="eastAsia"/>
        </w:rPr>
        <w:t>业</w:t>
      </w:r>
      <w:r>
        <w:rPr>
          <w:rStyle w:val="PO156"/>
          <w:rFonts w:ascii="仿宋" w:eastAsia="仿宋" w:hAnsi="仿宋" w:hint="eastAsia"/>
        </w:rPr>
        <w:t>资</w:t>
      </w:r>
      <w:r>
        <w:rPr>
          <w:rStyle w:val="PO156"/>
          <w:rFonts w:ascii="仿宋" w:eastAsia="仿宋" w:hAnsi="仿宋" w:hint="eastAsia"/>
        </w:rPr>
        <w:t>格</w:t>
      </w:r>
      <w:r>
        <w:rPr>
          <w:rStyle w:val="PO156"/>
          <w:rFonts w:ascii="仿宋" w:eastAsia="仿宋" w:hAnsi="仿宋" w:hint="eastAsia"/>
        </w:rPr>
        <w:t>证</w:t>
      </w:r>
      <w:r>
        <w:rPr>
          <w:rStyle w:val="PO156"/>
          <w:rFonts w:ascii="仿宋" w:eastAsia="仿宋" w:hAnsi="仿宋" w:hint="eastAsia"/>
        </w:rPr>
        <w:t>书</w:t>
      </w:r>
      <w:r>
        <w:rPr>
          <w:rStyle w:val="PO156"/>
          <w:rFonts w:ascii="仿宋" w:eastAsia="仿宋" w:hAnsi="仿宋" w:hint="eastAsia"/>
        </w:rPr>
        <w:t>获</w:t>
      </w:r>
      <w:r>
        <w:rPr>
          <w:rStyle w:val="PO156"/>
          <w:rFonts w:ascii="仿宋" w:eastAsia="仿宋" w:hAnsi="仿宋" w:hint="eastAsia"/>
        </w:rPr>
        <w:t>取</w:t>
      </w:r>
      <w:r>
        <w:rPr>
          <w:rStyle w:val="PO156"/>
          <w:rFonts w:ascii="仿宋" w:eastAsia="仿宋" w:hAnsi="仿宋" w:hint="eastAsia"/>
        </w:rPr>
        <w:t>率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_Toc530555727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14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28"/>
        <w:rPr/>
      </w:pPr>
      <w:r>
        <w:fldChar w:fldCharType="begin"/>
      </w:r>
      <w:r>
        <w:instrText xml:space="preserve">HYPERLINK  \l  "_Toc530555728"</w:instrText>
      </w:r>
      <w:r>
        <w:fldChar w:fldCharType="separate"/>
      </w:r>
      <w:r>
        <w:rPr>
          <w:rStyle w:val="PO156"/>
          <w:b w:val="1"/>
          <w:rFonts w:hint="eastAsia"/>
        </w:rPr>
        <w:t>第</w:t>
      </w:r>
      <w:r>
        <w:rPr>
          <w:rStyle w:val="PO156"/>
          <w:b w:val="1"/>
          <w:rFonts w:hint="eastAsia"/>
        </w:rPr>
        <w:t>六</w:t>
      </w:r>
      <w:r>
        <w:rPr>
          <w:rStyle w:val="PO156"/>
          <w:b w:val="1"/>
          <w:rFonts w:hint="eastAsia"/>
        </w:rPr>
        <w:t>部</w:t>
      </w:r>
      <w:r>
        <w:rPr>
          <w:rStyle w:val="PO156"/>
          <w:b w:val="1"/>
          <w:rFonts w:hint="eastAsia"/>
        </w:rPr>
        <w:t>分</w:t>
      </w:r>
      <w:r>
        <w:rPr>
          <w:rStyle w:val="PO156"/>
          <w:b w:val="1"/>
        </w:rPr>
        <w:t xml:space="preserve"> </w:t>
      </w:r>
      <w:r>
        <w:rPr>
          <w:rStyle w:val="PO156"/>
          <w:b w:val="1"/>
          <w:rFonts w:hint="eastAsia"/>
        </w:rPr>
        <w:t>社</w:t>
      </w:r>
      <w:r>
        <w:rPr>
          <w:rStyle w:val="PO156"/>
          <w:b w:val="1"/>
          <w:rFonts w:hint="eastAsia"/>
        </w:rPr>
        <w:t>会</w:t>
      </w:r>
      <w:r>
        <w:rPr>
          <w:rStyle w:val="PO156"/>
          <w:b w:val="1"/>
          <w:rFonts w:hint="eastAsia"/>
        </w:rPr>
        <w:t>服</w:t>
      </w:r>
      <w:r>
        <w:rPr>
          <w:rStyle w:val="PO156"/>
          <w:b w:val="1"/>
          <w:rFonts w:hint="eastAsia"/>
        </w:rPr>
        <w:t>务</w:t>
      </w:r>
      <w:r>
        <w:rPr/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_Toc530555728 </w:instrText>
      </w:r>
      <w:r>
        <w:rPr>
          <w:rFonts w:hint="eastAsia"/>
        </w:rPr>
        <w:instrText> \* MERGEFORMAT</w:instrText>
      </w:r>
      <w:r>
        <w:fldChar w:fldCharType="separate"/>
      </w:r>
      <w:r>
        <w:rPr/>
        <w:t>15</w:t>
      </w:r>
      <w:r>
        <w:rPr/>
        <w:fldChar w:fldCharType="end"/>
      </w:r>
      <w:r>
        <w:rPr>
          <w:rFonts w:ascii="宋体" w:eastAsia="宋体" w:hAnsi="Calibri"/>
        </w:rPr>
        <w:fldChar w:fldCharType="end"/>
      </w:r>
    </w:p>
    <w:p>
      <w:pPr>
        <w:pStyle w:val="PO28"/>
        <w:rPr/>
      </w:pPr>
      <w:r>
        <w:fldChar w:fldCharType="begin"/>
      </w:r>
      <w:r>
        <w:instrText xml:space="preserve">HYPERLINK  \l  "_Toc530555729"</w:instrText>
      </w:r>
      <w:r>
        <w:fldChar w:fldCharType="separate"/>
      </w:r>
      <w:r>
        <w:rPr>
          <w:rStyle w:val="PO156"/>
          <w:b w:val="1"/>
          <w:rFonts w:hint="eastAsia"/>
        </w:rPr>
        <w:t>第</w:t>
      </w:r>
      <w:r>
        <w:rPr>
          <w:rStyle w:val="PO156"/>
          <w:b w:val="1"/>
          <w:rFonts w:hint="eastAsia"/>
        </w:rPr>
        <w:t>七</w:t>
      </w:r>
      <w:r>
        <w:rPr>
          <w:rStyle w:val="PO156"/>
          <w:b w:val="1"/>
          <w:rFonts w:hint="eastAsia"/>
        </w:rPr>
        <w:t>部</w:t>
      </w:r>
      <w:r>
        <w:rPr>
          <w:rStyle w:val="PO156"/>
          <w:b w:val="1"/>
          <w:rFonts w:hint="eastAsia"/>
        </w:rPr>
        <w:t>分</w:t>
      </w:r>
      <w:r>
        <w:rPr>
          <w:rStyle w:val="PO156"/>
          <w:b w:val="1"/>
        </w:rPr>
        <w:t xml:space="preserve"> </w:t>
      </w:r>
      <w:r>
        <w:rPr>
          <w:rStyle w:val="PO156"/>
          <w:b w:val="1"/>
          <w:rFonts w:hint="eastAsia"/>
        </w:rPr>
        <w:t>存</w:t>
      </w:r>
      <w:r>
        <w:rPr>
          <w:rStyle w:val="PO156"/>
          <w:b w:val="1"/>
          <w:rFonts w:hint="eastAsia"/>
        </w:rPr>
        <w:t>在</w:t>
      </w:r>
      <w:r>
        <w:rPr>
          <w:rStyle w:val="PO156"/>
          <w:b w:val="1"/>
          <w:rFonts w:hint="eastAsia"/>
        </w:rPr>
        <w:t>问</w:t>
      </w:r>
      <w:r>
        <w:rPr>
          <w:rStyle w:val="PO156"/>
          <w:b w:val="1"/>
          <w:rFonts w:hint="eastAsia"/>
        </w:rPr>
        <w:t>题</w:t>
      </w:r>
      <w:r>
        <w:rPr>
          <w:rStyle w:val="PO156"/>
          <w:b w:val="1"/>
          <w:rFonts w:hint="eastAsia"/>
        </w:rPr>
        <w:t>及</w:t>
      </w:r>
      <w:r>
        <w:rPr>
          <w:rStyle w:val="PO156"/>
          <w:b w:val="1"/>
          <w:rFonts w:hint="eastAsia"/>
        </w:rPr>
        <w:t>未</w:t>
      </w:r>
      <w:r>
        <w:rPr>
          <w:rStyle w:val="PO156"/>
          <w:b w:val="1"/>
          <w:rFonts w:hint="eastAsia"/>
        </w:rPr>
        <w:t>来</w:t>
      </w:r>
      <w:r>
        <w:rPr>
          <w:rStyle w:val="PO156"/>
          <w:b w:val="1"/>
          <w:rFonts w:hint="eastAsia"/>
        </w:rPr>
        <w:t>发</w:t>
      </w:r>
      <w:r>
        <w:rPr>
          <w:rStyle w:val="PO156"/>
          <w:b w:val="1"/>
          <w:rFonts w:hint="eastAsia"/>
        </w:rPr>
        <w:t>展</w:t>
      </w:r>
      <w:r>
        <w:rPr/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_Toc530555729 </w:instrText>
      </w:r>
      <w:r>
        <w:rPr>
          <w:rFonts w:hint="eastAsia"/>
        </w:rPr>
        <w:instrText> \* MERGEFORMAT</w:instrText>
      </w:r>
      <w:r>
        <w:fldChar w:fldCharType="separate"/>
      </w:r>
      <w:r>
        <w:rPr/>
        <w:t>15</w:t>
      </w:r>
      <w:r>
        <w:rPr/>
        <w:fldChar w:fldCharType="end"/>
      </w:r>
      <w:r>
        <w:rPr>
          <w:rFonts w:ascii="宋体" w:eastAsia="宋体" w:hAnsi="Calibri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"_Toc530555730"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一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社</w:t>
      </w:r>
      <w:r>
        <w:rPr>
          <w:rStyle w:val="PO156"/>
          <w:rFonts w:ascii="仿宋" w:eastAsia="仿宋" w:hAnsi="仿宋" w:hint="eastAsia"/>
        </w:rPr>
        <w:t>会</w:t>
      </w:r>
      <w:r>
        <w:rPr>
          <w:rStyle w:val="PO156"/>
          <w:rFonts w:ascii="仿宋" w:eastAsia="仿宋" w:hAnsi="仿宋" w:hint="eastAsia"/>
        </w:rPr>
        <w:t>服</w:t>
      </w:r>
      <w:r>
        <w:rPr>
          <w:rStyle w:val="PO156"/>
          <w:rFonts w:ascii="仿宋" w:eastAsia="仿宋" w:hAnsi="仿宋" w:hint="eastAsia"/>
        </w:rPr>
        <w:t>务</w:t>
      </w:r>
      <w:r>
        <w:rPr>
          <w:rStyle w:val="PO156"/>
          <w:rFonts w:ascii="仿宋" w:eastAsia="仿宋" w:hAnsi="仿宋" w:hint="eastAsia"/>
        </w:rPr>
        <w:t>能</w:t>
      </w:r>
      <w:r>
        <w:rPr>
          <w:rStyle w:val="PO156"/>
          <w:rFonts w:ascii="仿宋" w:eastAsia="仿宋" w:hAnsi="仿宋" w:hint="eastAsia"/>
        </w:rPr>
        <w:t>力</w:t>
      </w:r>
      <w:r>
        <w:rPr>
          <w:rStyle w:val="PO156"/>
          <w:rFonts w:ascii="仿宋" w:eastAsia="仿宋" w:hAnsi="仿宋" w:hint="eastAsia"/>
        </w:rPr>
        <w:t>有</w:t>
      </w:r>
      <w:r>
        <w:rPr>
          <w:rStyle w:val="PO156"/>
          <w:rFonts w:ascii="仿宋" w:eastAsia="仿宋" w:hAnsi="仿宋" w:hint="eastAsia"/>
        </w:rPr>
        <w:t>待</w:t>
      </w:r>
      <w:r>
        <w:rPr>
          <w:rStyle w:val="PO156"/>
          <w:rFonts w:ascii="仿宋" w:eastAsia="仿宋" w:hAnsi="仿宋" w:hint="eastAsia"/>
        </w:rPr>
        <w:t>提</w:t>
      </w:r>
      <w:r>
        <w:rPr>
          <w:rStyle w:val="PO156"/>
          <w:rFonts w:ascii="仿宋" w:eastAsia="仿宋" w:hAnsi="仿宋" w:hint="eastAsia"/>
        </w:rPr>
        <w:t>升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_Toc530555730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15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"_Toc530555731"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二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校</w:t>
      </w:r>
      <w:r>
        <w:rPr>
          <w:rStyle w:val="PO156"/>
          <w:rFonts w:ascii="仿宋" w:eastAsia="仿宋" w:hAnsi="仿宋" w:hint="eastAsia"/>
        </w:rPr>
        <w:t>企</w:t>
      </w:r>
      <w:r>
        <w:rPr>
          <w:rStyle w:val="PO156"/>
          <w:rFonts w:ascii="仿宋" w:eastAsia="仿宋" w:hAnsi="仿宋" w:hint="eastAsia"/>
        </w:rPr>
        <w:t>合</w:t>
      </w:r>
      <w:r>
        <w:rPr>
          <w:rStyle w:val="PO156"/>
          <w:rFonts w:ascii="仿宋" w:eastAsia="仿宋" w:hAnsi="仿宋" w:hint="eastAsia"/>
        </w:rPr>
        <w:t>作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产</w:t>
      </w:r>
      <w:r>
        <w:rPr>
          <w:rStyle w:val="PO156"/>
          <w:rFonts w:ascii="仿宋" w:eastAsia="仿宋" w:hAnsi="仿宋" w:hint="eastAsia"/>
        </w:rPr>
        <w:t>教</w:t>
      </w:r>
      <w:r>
        <w:rPr>
          <w:rStyle w:val="PO156"/>
          <w:rFonts w:ascii="仿宋" w:eastAsia="仿宋" w:hAnsi="仿宋" w:hint="eastAsia"/>
        </w:rPr>
        <w:t>融</w:t>
      </w:r>
      <w:r>
        <w:rPr>
          <w:rStyle w:val="PO156"/>
          <w:rFonts w:ascii="仿宋" w:eastAsia="仿宋" w:hAnsi="仿宋" w:hint="eastAsia"/>
        </w:rPr>
        <w:t>合</w:t>
      </w:r>
      <w:r>
        <w:rPr>
          <w:rStyle w:val="PO156"/>
          <w:rFonts w:ascii="仿宋" w:eastAsia="仿宋" w:hAnsi="仿宋" w:hint="eastAsia"/>
        </w:rPr>
        <w:t>还</w:t>
      </w:r>
      <w:r>
        <w:rPr>
          <w:rStyle w:val="PO156"/>
          <w:rFonts w:ascii="仿宋" w:eastAsia="仿宋" w:hAnsi="仿宋" w:hint="eastAsia"/>
        </w:rPr>
        <w:t>有</w:t>
      </w:r>
      <w:r>
        <w:rPr>
          <w:rStyle w:val="PO156"/>
          <w:rFonts w:ascii="仿宋" w:eastAsia="仿宋" w:hAnsi="仿宋" w:hint="eastAsia"/>
        </w:rPr>
        <w:t>待</w:t>
      </w:r>
      <w:r>
        <w:rPr>
          <w:rStyle w:val="PO156"/>
          <w:rFonts w:ascii="仿宋" w:eastAsia="仿宋" w:hAnsi="仿宋" w:hint="eastAsia"/>
        </w:rPr>
        <w:t>于</w:t>
      </w:r>
      <w:r>
        <w:rPr>
          <w:rStyle w:val="PO156"/>
          <w:rFonts w:ascii="仿宋" w:eastAsia="仿宋" w:hAnsi="仿宋" w:hint="eastAsia"/>
        </w:rPr>
        <w:t>深</w:t>
      </w:r>
      <w:r>
        <w:rPr>
          <w:rStyle w:val="PO156"/>
          <w:rFonts w:ascii="仿宋" w:eastAsia="仿宋" w:hAnsi="仿宋" w:hint="eastAsia"/>
        </w:rPr>
        <w:t>化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_Toc530555731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16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pStyle w:val="PO30"/>
        <w:rPr>
          <w:rFonts w:ascii="仿宋" w:eastAsia="仿宋" w:hAnsi="仿宋"/>
        </w:rPr>
      </w:pPr>
      <w:r>
        <w:fldChar w:fldCharType="begin"/>
      </w:r>
      <w:r>
        <w:instrText xml:space="preserve">HYPERLINK  \l  "_Toc530555732"</w:instrText>
      </w:r>
      <w:r>
        <w:fldChar w:fldCharType="separate"/>
      </w:r>
      <w:r>
        <w:rPr>
          <w:rStyle w:val="PO156"/>
          <w:rFonts w:ascii="仿宋" w:eastAsia="仿宋" w:hAnsi="仿宋" w:hint="eastAsia"/>
        </w:rPr>
        <w:t>三</w:t>
      </w:r>
      <w:r>
        <w:rPr>
          <w:rStyle w:val="PO156"/>
          <w:rFonts w:ascii="仿宋" w:eastAsia="仿宋" w:hAnsi="仿宋" w:hint="eastAsia"/>
        </w:rPr>
        <w:t>、</w:t>
      </w:r>
      <w:r>
        <w:rPr>
          <w:rStyle w:val="PO156"/>
          <w:rFonts w:ascii="仿宋" w:eastAsia="仿宋" w:hAnsi="仿宋" w:hint="eastAsia"/>
        </w:rPr>
        <w:t>信</w:t>
      </w:r>
      <w:r>
        <w:rPr>
          <w:rStyle w:val="PO156"/>
          <w:rFonts w:ascii="仿宋" w:eastAsia="仿宋" w:hAnsi="仿宋" w:hint="eastAsia"/>
        </w:rPr>
        <w:t>息</w:t>
      </w:r>
      <w:r>
        <w:rPr>
          <w:rStyle w:val="PO156"/>
          <w:rFonts w:ascii="仿宋" w:eastAsia="仿宋" w:hAnsi="仿宋" w:hint="eastAsia"/>
        </w:rPr>
        <w:t>化</w:t>
      </w:r>
      <w:r>
        <w:rPr>
          <w:rStyle w:val="PO156"/>
          <w:rFonts w:ascii="仿宋" w:eastAsia="仿宋" w:hAnsi="仿宋" w:hint="eastAsia"/>
        </w:rPr>
        <w:t>教</w:t>
      </w:r>
      <w:r>
        <w:rPr>
          <w:rStyle w:val="PO156"/>
          <w:rFonts w:ascii="仿宋" w:eastAsia="仿宋" w:hAnsi="仿宋" w:hint="eastAsia"/>
        </w:rPr>
        <w:t>学</w:t>
      </w:r>
      <w:r>
        <w:rPr>
          <w:rStyle w:val="PO156"/>
          <w:rFonts w:ascii="仿宋" w:eastAsia="仿宋" w:hAnsi="仿宋" w:hint="eastAsia"/>
        </w:rPr>
        <w:t>质</w:t>
      </w:r>
      <w:r>
        <w:rPr>
          <w:rStyle w:val="PO156"/>
          <w:rFonts w:ascii="仿宋" w:eastAsia="仿宋" w:hAnsi="仿宋" w:hint="eastAsia"/>
        </w:rPr>
        <w:t>量</w:t>
      </w:r>
      <w:r>
        <w:rPr>
          <w:rStyle w:val="PO156"/>
          <w:rFonts w:ascii="仿宋" w:eastAsia="仿宋" w:hAnsi="仿宋" w:hint="eastAsia"/>
        </w:rPr>
        <w:t>有</w:t>
      </w:r>
      <w:r>
        <w:rPr>
          <w:rStyle w:val="PO156"/>
          <w:rFonts w:ascii="仿宋" w:eastAsia="仿宋" w:hAnsi="仿宋" w:hint="eastAsia"/>
        </w:rPr>
        <w:t>待</w:t>
      </w:r>
      <w:r>
        <w:rPr>
          <w:rStyle w:val="PO156"/>
          <w:rFonts w:ascii="仿宋" w:eastAsia="仿宋" w:hAnsi="仿宋" w:hint="eastAsia"/>
        </w:rPr>
        <w:t>提</w:t>
      </w:r>
      <w:r>
        <w:rPr>
          <w:rStyle w:val="PO156"/>
          <w:rFonts w:ascii="仿宋" w:eastAsia="仿宋" w:hAnsi="仿宋" w:hint="eastAsia"/>
        </w:rPr>
        <w:t>高</w:t>
      </w:r>
      <w:r>
        <w:rPr>
          <w:rFonts w:ascii="仿宋" w:eastAsia="仿宋" w:hAnsi="仿宋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> PAGEREF  _Toc530555732 </w:instrText>
      </w:r>
      <w:r>
        <w:rPr>
          <w:rFonts w:hint="eastAsia"/>
        </w:rPr>
        <w:instrText> \* MERGEFORMAT</w:instrText>
      </w:r>
      <w:r>
        <w:fldChar w:fldCharType="separate"/>
      </w:r>
      <w:r>
        <w:rPr>
          <w:rFonts w:ascii="仿宋" w:eastAsia="仿宋" w:hAnsi="仿宋"/>
        </w:rPr>
        <w:t>17</w:t>
      </w:r>
      <w:r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fldChar w:fldCharType="end"/>
      </w:r>
    </w:p>
    <w:p>
      <w:pPr>
        <w:rPr>
          <w:rFonts w:ascii="仿宋" w:eastAsia="仿宋" w:hAnsi="仿宋"/>
        </w:rPr>
      </w:pPr>
      <w:r>
        <w:rPr>
          <w:rFonts w:ascii="仿宋" w:eastAsia="仿宋" w:hAnsi="仿宋"/>
        </w:rPr>
        <w:fldChar w:fldCharType="end"/>
      </w:r>
    </w:p>
    <w:p>
      <w:pPr>
        <w:jc w:val="both"/>
        <w:spacing w:lineRule="exact" w:line="480"/>
        <w:ind w:firstLine="640"/>
        <w:rPr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>为做好我院2020年评估工作，学院根据《国务院教育督导委</w:t>
      </w:r>
      <w:r>
        <w:rPr>
          <w:color w:val="auto"/>
          <w:sz w:val="28"/>
          <w:szCs w:val="28"/>
          <w:rFonts w:ascii="宋体" w:eastAsia="宋体" w:hAnsi="宋体" w:cs="宋体"/>
        </w:rPr>
        <w:t>员会办公室关于开展2020年全国职业院校评估工作的通知》（国教</w:t>
      </w:r>
      <w:r>
        <w:rPr>
          <w:color w:val="auto"/>
          <w:sz w:val="28"/>
          <w:szCs w:val="28"/>
          <w:rFonts w:ascii="宋体" w:eastAsia="宋体" w:hAnsi="宋体" w:cs="宋体"/>
        </w:rPr>
        <w:t>督办函〔2020〕25号）及《河北省人民政府教育督导委员会办公室</w:t>
      </w:r>
      <w:r>
        <w:rPr>
          <w:color w:val="auto"/>
          <w:sz w:val="28"/>
          <w:szCs w:val="28"/>
          <w:rFonts w:ascii="宋体" w:eastAsia="宋体" w:hAnsi="宋体" w:cs="宋体"/>
        </w:rPr>
        <w:t>关于做好2020年全国职业院校评估工作的通知》（冀教督办函〔202</w:t>
      </w:r>
      <w:r>
        <w:rPr>
          <w:color w:val="auto"/>
          <w:sz w:val="28"/>
          <w:szCs w:val="28"/>
          <w:rFonts w:ascii="宋体" w:eastAsia="宋体" w:hAnsi="宋体" w:cs="宋体"/>
        </w:rPr>
        <w:t>0〕12号）文件要求，认真完成了数据采集、问卷调查、评估报告工作，</w:t>
      </w:r>
      <w:r>
        <w:rPr>
          <w:color w:val="auto"/>
          <w:sz w:val="28"/>
          <w:szCs w:val="28"/>
          <w:rFonts w:ascii="宋体" w:eastAsia="宋体" w:hAnsi="宋体" w:cs="宋体"/>
        </w:rPr>
        <w:t>现经过对学院数据与职业院校评估指标分析对比，形成自评报告，自</w:t>
      </w:r>
      <w:r>
        <w:rPr>
          <w:color w:val="auto"/>
          <w:sz w:val="28"/>
          <w:szCs w:val="28"/>
          <w:rFonts w:ascii="宋体" w:eastAsia="宋体" w:hAnsi="宋体" w:cs="宋体"/>
        </w:rPr>
        <w:t>评结果如下：</w:t>
      </w:r>
    </w:p>
    <w:p>
      <w:pPr>
        <w:pStyle w:val="PO7"/>
        <w:spacing w:lineRule="exact" w:line="480"/>
        <w:rPr>
          <w:sz w:val="28"/>
          <w:szCs w:val="28"/>
          <w:rFonts w:ascii="宋体" w:eastAsia="宋体" w:hAnsi="宋体" w:cs="宋体"/>
        </w:rPr>
      </w:pPr>
      <w:bookmarkStart w:id="1" w:name="_Toc530555707"/>
      <w:r>
        <w:rPr>
          <w:sz w:val="28"/>
          <w:szCs w:val="28"/>
          <w:rFonts w:ascii="宋体" w:eastAsia="宋体" w:hAnsi="宋体" w:cs="宋体" w:hint="eastAsia"/>
        </w:rPr>
        <w:t xml:space="preserve">第一部分 </w:t>
      </w:r>
      <w:r>
        <w:rPr>
          <w:sz w:val="28"/>
          <w:szCs w:val="28"/>
          <w:rFonts w:ascii="宋体" w:eastAsia="宋体" w:hAnsi="宋体" w:cs="宋体"/>
        </w:rPr>
        <w:t>学校概况</w:t>
      </w:r>
      <w:bookmarkEnd w:id="1"/>
    </w:p>
    <w:p>
      <w:pPr>
        <w:spacing w:lineRule="exact" w:line="480"/>
        <w:ind w:firstLine="640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>河北旅游职业学院是河北省唯一以旅游命名，以培养旅游类、现</w:t>
      </w:r>
      <w:r>
        <w:rPr>
          <w:color w:val="auto"/>
          <w:sz w:val="28"/>
          <w:szCs w:val="28"/>
          <w:rFonts w:ascii="宋体" w:eastAsia="宋体" w:hAnsi="宋体" w:cs="宋体"/>
        </w:rPr>
        <w:t>代农业类、现代管理类和信息机电类高素质技术技能专门人才为主的</w:t>
      </w:r>
      <w:r>
        <w:rPr>
          <w:color w:val="auto"/>
          <w:sz w:val="28"/>
          <w:szCs w:val="28"/>
          <w:rFonts w:ascii="宋体" w:eastAsia="宋体" w:hAnsi="宋体" w:cs="宋体"/>
        </w:rPr>
        <w:t>综合性公办全日制高职院校，是河北省重点建设的示范性高等职业院</w:t>
      </w:r>
      <w:r>
        <w:rPr>
          <w:color w:val="auto"/>
          <w:sz w:val="28"/>
          <w:szCs w:val="28"/>
          <w:rFonts w:ascii="宋体" w:eastAsia="宋体" w:hAnsi="宋体" w:cs="宋体"/>
        </w:rPr>
        <w:t>校和优质专科高等职业院校，其前身是创建于1950年的热河省农林</w:t>
      </w:r>
      <w:r>
        <w:rPr>
          <w:color w:val="auto"/>
          <w:sz w:val="28"/>
          <w:szCs w:val="28"/>
          <w:rFonts w:ascii="宋体" w:eastAsia="宋体" w:hAnsi="宋体" w:cs="宋体"/>
        </w:rPr>
        <w:t>专科学校。</w:t>
      </w:r>
    </w:p>
    <w:p>
      <w:pPr>
        <w:spacing w:lineRule="exact" w:line="480"/>
        <w:ind w:firstLine="640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>学院设有旅游管理、旅行社管理、酒店管理、旅游外语、设计开</w:t>
      </w:r>
      <w:r>
        <w:rPr>
          <w:color w:val="auto"/>
          <w:sz w:val="28"/>
          <w:szCs w:val="28"/>
          <w:rFonts w:ascii="宋体" w:eastAsia="宋体" w:hAnsi="宋体" w:cs="宋体"/>
        </w:rPr>
        <w:t>发、生物工程、畜牧兽医、园林艺术、会计、商务管理、机械电子和</w:t>
      </w:r>
      <w:r>
        <w:rPr>
          <w:color w:val="auto"/>
          <w:sz w:val="28"/>
          <w:szCs w:val="28"/>
          <w:rFonts w:ascii="宋体" w:eastAsia="宋体" w:hAnsi="宋体" w:cs="宋体"/>
        </w:rPr>
        <w:t>信息技术等12个系，3部（基础部、社科部、公共英语部）、2学院</w:t>
      </w:r>
      <w:r>
        <w:rPr>
          <w:color w:val="auto"/>
          <w:sz w:val="28"/>
          <w:szCs w:val="28"/>
          <w:rFonts w:ascii="宋体" w:eastAsia="宋体" w:hAnsi="宋体" w:cs="宋体"/>
        </w:rPr>
        <w:t>（国际教育学院、继续教育学院）、1中心（电教中心）、中央财政支</w:t>
      </w:r>
      <w:r>
        <w:rPr>
          <w:color w:val="auto"/>
          <w:sz w:val="28"/>
          <w:szCs w:val="28"/>
          <w:rFonts w:ascii="宋体" w:eastAsia="宋体" w:hAnsi="宋体" w:cs="宋体"/>
        </w:rPr>
        <w:t>持的职业教育实训基地2个（旅游管理、中草药栽培技术）、国家旅</w:t>
      </w:r>
      <w:r>
        <w:rPr>
          <w:color w:val="auto"/>
          <w:sz w:val="28"/>
          <w:szCs w:val="28"/>
          <w:rFonts w:ascii="宋体" w:eastAsia="宋体" w:hAnsi="宋体" w:cs="宋体"/>
        </w:rPr>
        <w:t>游局旅游职业教育校企合作示范基地1个（旅游管理）、全国职业院</w:t>
      </w:r>
      <w:r>
        <w:rPr>
          <w:color w:val="auto"/>
          <w:sz w:val="28"/>
          <w:szCs w:val="28"/>
          <w:rFonts w:ascii="宋体" w:eastAsia="宋体" w:hAnsi="宋体" w:cs="宋体"/>
        </w:rPr>
        <w:t>校旅游类示范专业基地1个（旅游管理），现有教职员工741人，其中</w:t>
      </w:r>
      <w:r>
        <w:rPr>
          <w:color w:val="auto"/>
          <w:sz w:val="28"/>
          <w:szCs w:val="28"/>
          <w:rFonts w:ascii="宋体" w:eastAsia="宋体" w:hAnsi="宋体" w:cs="宋体"/>
        </w:rPr>
        <w:t>副高级以上职称298人，硕士以上学位教师248人，双师素质教师</w:t>
      </w:r>
      <w:r>
        <w:rPr>
          <w:color w:val="auto"/>
          <w:sz w:val="28"/>
          <w:szCs w:val="28"/>
          <w:rFonts w:ascii="宋体" w:eastAsia="宋体" w:hAnsi="宋体" w:cs="宋体"/>
        </w:rPr>
        <w:t>402人，面向全国22个省、市招生，全日制在校生9000余人。</w:t>
      </w:r>
    </w:p>
    <w:p>
      <w:pPr>
        <w:spacing w:lineRule="exact" w:line="480"/>
        <w:ind w:firstLine="640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>多年来，学院一直坚持“质量立校，特色强校，开放活校”发展</w:t>
      </w:r>
      <w:r>
        <w:rPr>
          <w:color w:val="auto"/>
          <w:sz w:val="28"/>
          <w:szCs w:val="28"/>
          <w:rFonts w:ascii="宋体" w:eastAsia="宋体" w:hAnsi="宋体" w:cs="宋体"/>
        </w:rPr>
        <w:t>战略，坚持“创办特色高职院校，培育优秀职业人才”的办学理念，坚</w:t>
      </w:r>
      <w:r>
        <w:rPr>
          <w:color w:val="auto"/>
          <w:sz w:val="28"/>
          <w:szCs w:val="28"/>
          <w:rFonts w:ascii="宋体" w:eastAsia="宋体" w:hAnsi="宋体" w:cs="宋体"/>
        </w:rPr>
        <w:t>持“立足河北，面向京津，融入国际，服务旅游”的服务面向定位，实</w:t>
      </w:r>
      <w:r>
        <w:rPr>
          <w:color w:val="auto"/>
          <w:sz w:val="28"/>
          <w:szCs w:val="28"/>
          <w:rFonts w:ascii="宋体" w:eastAsia="宋体" w:hAnsi="宋体" w:cs="宋体"/>
        </w:rPr>
        <w:t>施“双轮驱动”（学校教育、服务社会）办学，坚持抓内涵建设，推</w:t>
      </w:r>
      <w:r>
        <w:rPr>
          <w:color w:val="auto"/>
          <w:sz w:val="28"/>
          <w:szCs w:val="28"/>
          <w:rFonts w:ascii="宋体" w:eastAsia="宋体" w:hAnsi="宋体" w:cs="宋体"/>
        </w:rPr>
        <w:t>进质量立校。学院办学综合竞争力逐年提升，2017—2019年“金苹果”</w:t>
      </w:r>
      <w:r>
        <w:rPr>
          <w:color w:val="auto"/>
          <w:sz w:val="28"/>
          <w:szCs w:val="28"/>
          <w:rFonts w:ascii="宋体" w:eastAsia="宋体" w:hAnsi="宋体" w:cs="宋体"/>
        </w:rPr>
        <w:t>全国高职高专排行榜排名分别为270、268、266，连续3年持续上</w:t>
      </w:r>
      <w:r>
        <w:rPr>
          <w:color w:val="auto"/>
          <w:sz w:val="28"/>
          <w:szCs w:val="28"/>
          <w:rFonts w:ascii="宋体" w:eastAsia="宋体" w:hAnsi="宋体" w:cs="宋体"/>
        </w:rPr>
        <w:t>升，进入全国前20%序列，被河北省委、省政府授予河北省省级文明校</w:t>
      </w:r>
      <w:r>
        <w:rPr>
          <w:color w:val="auto"/>
          <w:sz w:val="28"/>
          <w:szCs w:val="28"/>
          <w:rFonts w:ascii="宋体" w:eastAsia="宋体" w:hAnsi="宋体" w:cs="宋体"/>
        </w:rPr>
        <w:t>园（文明单位）称号；2017、2019年，两度荣获“高等职业院校国际</w:t>
      </w:r>
      <w:r>
        <w:rPr>
          <w:color w:val="auto"/>
          <w:sz w:val="28"/>
          <w:szCs w:val="28"/>
          <w:rFonts w:ascii="宋体" w:eastAsia="宋体" w:hAnsi="宋体" w:cs="宋体"/>
        </w:rPr>
        <w:t>影响力50强”荣誉；成为中国非物质文化遗产职业教育委会委员单</w:t>
      </w:r>
      <w:r>
        <w:rPr>
          <w:color w:val="auto"/>
          <w:sz w:val="28"/>
          <w:szCs w:val="28"/>
          <w:rFonts w:ascii="宋体" w:eastAsia="宋体" w:hAnsi="宋体" w:cs="宋体"/>
        </w:rPr>
        <w:t>位；在全国职院校自媒体影响力排行榜中排名第36位，在河北省高职</w:t>
      </w:r>
      <w:r>
        <w:rPr>
          <w:color w:val="auto"/>
          <w:sz w:val="28"/>
          <w:szCs w:val="28"/>
          <w:rFonts w:ascii="宋体" w:eastAsia="宋体" w:hAnsi="宋体" w:cs="宋体"/>
        </w:rPr>
        <w:t>院校中排名第2位，现为国家旅游教育协会常务理事单位，“中国-中</w:t>
      </w:r>
      <w:r>
        <w:rPr>
          <w:color w:val="auto"/>
          <w:sz w:val="28"/>
          <w:szCs w:val="28"/>
          <w:rFonts w:ascii="宋体" w:eastAsia="宋体" w:hAnsi="宋体" w:cs="宋体"/>
        </w:rPr>
        <w:t>东欧职业教育国际联盟（中国区）”副理事长单位和孔子学院（课堂）</w:t>
      </w:r>
      <w:r>
        <w:rPr>
          <w:color w:val="auto"/>
          <w:sz w:val="28"/>
          <w:szCs w:val="28"/>
          <w:rFonts w:ascii="宋体" w:eastAsia="宋体" w:hAnsi="宋体" w:cs="宋体"/>
        </w:rPr>
        <w:t>中方院校联盟单位，河北省旅游职业教育集团理事长单位，河北省重</w:t>
      </w:r>
      <w:r>
        <w:rPr>
          <w:color w:val="auto"/>
          <w:sz w:val="28"/>
          <w:szCs w:val="28"/>
          <w:rFonts w:ascii="宋体" w:eastAsia="宋体" w:hAnsi="宋体" w:cs="宋体"/>
        </w:rPr>
        <w:t>点建设的省级示范性高等职业院校，河北省优质高等职业院校，河北</w:t>
      </w:r>
      <w:r>
        <w:rPr>
          <w:color w:val="auto"/>
          <w:sz w:val="28"/>
          <w:szCs w:val="28"/>
          <w:rFonts w:ascii="宋体" w:eastAsia="宋体" w:hAnsi="宋体" w:cs="宋体"/>
        </w:rPr>
        <w:t>省高水平专业群建设院校，河北省文明校园，中央国家机关服务接待</w:t>
      </w:r>
      <w:r>
        <w:rPr>
          <w:color w:val="auto"/>
          <w:sz w:val="28"/>
          <w:szCs w:val="28"/>
          <w:rFonts w:ascii="宋体" w:eastAsia="宋体" w:hAnsi="宋体" w:cs="宋体"/>
        </w:rPr>
        <w:t>人员定点培训单位，河北省旅游职业教育集团理事长单位，河北省旅</w:t>
      </w:r>
      <w:r>
        <w:rPr>
          <w:color w:val="auto"/>
          <w:sz w:val="28"/>
          <w:szCs w:val="28"/>
          <w:rFonts w:ascii="宋体" w:eastAsia="宋体" w:hAnsi="宋体" w:cs="宋体"/>
        </w:rPr>
        <w:t>游协会副会长单位，河北省文化和旅游人才培训基地，河北省高技能</w:t>
      </w:r>
      <w:r>
        <w:rPr>
          <w:color w:val="auto"/>
          <w:sz w:val="28"/>
          <w:szCs w:val="28"/>
          <w:rFonts w:ascii="宋体" w:eastAsia="宋体" w:hAnsi="宋体" w:cs="宋体"/>
        </w:rPr>
        <w:t>人才培训基地，文旅部旅游职业教育校企合作示范基地，教育部首批</w:t>
      </w:r>
      <w:r>
        <w:rPr>
          <w:color w:val="auto"/>
          <w:sz w:val="28"/>
          <w:szCs w:val="28"/>
          <w:rFonts w:ascii="宋体" w:eastAsia="宋体" w:hAnsi="宋体" w:cs="宋体"/>
        </w:rPr>
        <w:t>“1+X”证书试点院校。</w:t>
      </w:r>
    </w:p>
    <w:p>
      <w:pPr>
        <w:pStyle w:val="PO7"/>
        <w:spacing w:lineRule="exact" w:line="480"/>
        <w:rPr>
          <w:sz w:val="28"/>
          <w:szCs w:val="28"/>
          <w:rFonts w:ascii="宋体" w:eastAsia="宋体" w:hAnsi="宋体" w:cs="宋体"/>
        </w:rPr>
      </w:pPr>
      <w:bookmarkStart w:id="2" w:name="_Toc530555708"/>
      <w:r>
        <w:rPr>
          <w:sz w:val="28"/>
          <w:szCs w:val="28"/>
          <w:rFonts w:ascii="宋体" w:eastAsia="宋体" w:hAnsi="宋体" w:cs="宋体" w:hint="eastAsia"/>
        </w:rPr>
        <w:t xml:space="preserve">第二部分 学院自评情况</w:t>
      </w:r>
      <w:bookmarkEnd w:id="2"/>
    </w:p>
    <w:p>
      <w:pPr>
        <w:pStyle w:val="PO9"/>
        <w:jc w:val="left"/>
        <w:spacing w:lineRule="exact" w:line="480" w:before="0" w:after="0"/>
        <w:ind w:firstLine="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/>
        </w:rPr>
        <w:t xml:space="preserve">   </w:t>
      </w:r>
      <w:r>
        <w:rPr>
          <w:b w:val="1"/>
          <w:sz w:val="28"/>
          <w:szCs w:val="28"/>
          <w:rFonts w:ascii="宋体" w:eastAsia="宋体" w:hAnsi="宋体" w:cs="宋体"/>
        </w:rPr>
        <w:t xml:space="preserve"> </w:t>
      </w:r>
      <w:bookmarkStart w:id="3" w:name="_Toc530555709"/>
      <w:r>
        <w:rPr>
          <w:b w:val="1"/>
          <w:sz w:val="28"/>
          <w:szCs w:val="28"/>
          <w:rFonts w:ascii="宋体" w:eastAsia="宋体" w:hAnsi="宋体" w:cs="宋体" w:hint="eastAsia"/>
        </w:rPr>
        <w:t>一、认真研读文件、领会自评意义</w:t>
      </w:r>
    </w:p>
    <w:p>
      <w:pPr>
        <w:pStyle w:val="PO1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因疫情原因，学院填报平台时还未能返校召开会议，相关填报</w:t>
      </w:r>
      <w:r>
        <w:rPr>
          <w:sz w:val="28"/>
          <w:szCs w:val="28"/>
          <w:rFonts w:ascii="宋体" w:eastAsia="宋体" w:hAnsi="宋体" w:cs="宋体" w:hint="eastAsia"/>
        </w:rPr>
        <w:t>人员自身认真研读国家《高等职业院校适应社会需求能力评估暂行</w:t>
      </w:r>
      <w:r>
        <w:rPr>
          <w:sz w:val="28"/>
          <w:szCs w:val="28"/>
          <w:rFonts w:ascii="宋体" w:eastAsia="宋体" w:hAnsi="宋体" w:cs="宋体" w:hint="eastAsia"/>
        </w:rPr>
        <w:t>办法》、河北省教育厅关于开展省职业院校评估相关要求，领会文</w:t>
      </w:r>
      <w:r>
        <w:rPr>
          <w:sz w:val="28"/>
          <w:szCs w:val="28"/>
          <w:rFonts w:ascii="宋体" w:eastAsia="宋体" w:hAnsi="宋体" w:cs="宋体" w:hint="eastAsia"/>
        </w:rPr>
        <w:t>件要求，明确本次评估是第三轮全国职业院校评估工作，旨在贯彻</w:t>
      </w:r>
      <w:r>
        <w:rPr>
          <w:sz w:val="28"/>
          <w:szCs w:val="28"/>
          <w:rFonts w:ascii="宋体" w:eastAsia="宋体" w:hAnsi="宋体" w:cs="宋体" w:hint="eastAsia"/>
        </w:rPr>
        <w:t>全国教育大会和中共中央办公厅、国务院办公厅《关于深化新时代</w:t>
      </w:r>
      <w:r>
        <w:rPr>
          <w:sz w:val="28"/>
          <w:szCs w:val="28"/>
          <w:rFonts w:ascii="宋体" w:eastAsia="宋体" w:hAnsi="宋体" w:cs="宋体" w:hint="eastAsia"/>
        </w:rPr>
        <w:t>教育督导体制机制改革的意见》精神，促进学院不断提髙办学水平</w:t>
      </w:r>
      <w:r>
        <w:rPr>
          <w:sz w:val="28"/>
          <w:szCs w:val="28"/>
          <w:rFonts w:ascii="宋体" w:eastAsia="宋体" w:hAnsi="宋体" w:cs="宋体" w:hint="eastAsia"/>
        </w:rPr>
        <w:t>和服务社会能力，评估内容根据国务院《国家职业教育改革实施方</w:t>
      </w:r>
      <w:r>
        <w:rPr>
          <w:sz w:val="28"/>
          <w:szCs w:val="28"/>
          <w:rFonts w:ascii="宋体" w:eastAsia="宋体" w:hAnsi="宋体" w:cs="宋体" w:hint="eastAsia"/>
        </w:rPr>
        <w:t>案》相关要求和《中等职业学校办学能力评估暂行办法》《高等职</w:t>
      </w:r>
      <w:r>
        <w:rPr>
          <w:sz w:val="28"/>
          <w:szCs w:val="28"/>
          <w:rFonts w:ascii="宋体" w:eastAsia="宋体" w:hAnsi="宋体" w:cs="宋体" w:hint="eastAsia"/>
        </w:rPr>
        <w:t xml:space="preserve">业院校适应社会需求能力 评估暂行办法》（简称两个《办法》）制</w:t>
      </w:r>
      <w:r>
        <w:rPr>
          <w:sz w:val="28"/>
          <w:szCs w:val="28"/>
          <w:rFonts w:ascii="宋体" w:eastAsia="宋体" w:hAnsi="宋体" w:cs="宋体" w:hint="eastAsia"/>
        </w:rPr>
        <w:t>定，须确保填报数据准确，自评工作严谨、规范。</w:t>
      </w:r>
    </w:p>
    <w:p>
      <w:pPr>
        <w:pStyle w:val="PO1"/>
        <w:jc w:val="left"/>
        <w:spacing w:lineRule="exact" w:line="480" w:before="0" w:after="0"/>
        <w:ind w:firstLine="566"/>
        <w:rPr>
          <w:b w:val="1"/>
          <w:sz w:val="28"/>
          <w:szCs w:val="28"/>
          <w:rFonts w:ascii="宋体" w:eastAsia="宋体" w:hAnsi="宋体" w:cs="宋体" w:hint="eastAsia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二、依据内容分工，确保填报质量</w:t>
      </w:r>
    </w:p>
    <w:p>
      <w:pPr>
        <w:pStyle w:val="PO1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依据数据平台填报内容，对各部门职责进行明确分工，对数据</w:t>
      </w:r>
      <w:r>
        <w:rPr>
          <w:sz w:val="28"/>
          <w:szCs w:val="28"/>
          <w:rFonts w:ascii="宋体" w:eastAsia="宋体" w:hAnsi="宋体" w:cs="宋体" w:hint="eastAsia"/>
        </w:rPr>
        <w:t>采集、问卷调查、评估报告三项工作做了具体分工、并提出完成节</w:t>
      </w:r>
      <w:r>
        <w:rPr>
          <w:sz w:val="28"/>
          <w:szCs w:val="28"/>
          <w:rFonts w:ascii="宋体" w:eastAsia="宋体" w:hAnsi="宋体" w:cs="宋体" w:hint="eastAsia"/>
        </w:rPr>
        <w:t>点和质量要求。</w:t>
      </w:r>
    </w:p>
    <w:p>
      <w:pPr>
        <w:pStyle w:val="PO9"/>
        <w:jc w:val="left"/>
        <w:spacing w:lineRule="exact" w:line="480" w:before="0" w:after="0"/>
        <w:ind w:firstLine="566"/>
        <w:rPr>
          <w:b w:val="1"/>
          <w:sz w:val="28"/>
          <w:szCs w:val="28"/>
          <w:rFonts w:ascii="宋体" w:eastAsia="宋体" w:hAnsi="宋体" w:cs="宋体" w:hint="eastAsia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三、召开自评会议、认真自查整改</w:t>
      </w:r>
      <w:bookmarkEnd w:id="3"/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数据填报完成后，学院召开专门自评会议，全院各系部、相关</w:t>
      </w:r>
      <w:r>
        <w:rPr>
          <w:sz w:val="28"/>
          <w:szCs w:val="28"/>
          <w:rFonts w:ascii="宋体" w:eastAsia="宋体" w:hAnsi="宋体" w:cs="宋体" w:hint="eastAsia"/>
        </w:rPr>
        <w:t>行政部门参加本次会议。会上，对照职业院校评估指标，找差距、</w:t>
      </w:r>
      <w:r>
        <w:rPr>
          <w:sz w:val="28"/>
          <w:szCs w:val="28"/>
          <w:rFonts w:ascii="宋体" w:eastAsia="宋体" w:hAnsi="宋体" w:cs="宋体" w:hint="eastAsia"/>
        </w:rPr>
        <w:t>分析原因，提出整改措施。</w:t>
      </w:r>
    </w:p>
    <w:p>
      <w:pPr>
        <w:pStyle w:val="PO7"/>
        <w:spacing w:lineRule="exact" w:line="480"/>
        <w:rPr>
          <w:sz w:val="28"/>
          <w:szCs w:val="28"/>
          <w:rFonts w:ascii="宋体" w:eastAsia="宋体" w:hAnsi="宋体" w:cs="宋体"/>
        </w:rPr>
      </w:pPr>
      <w:bookmarkStart w:id="4" w:name="_Toc530555712"/>
      <w:r>
        <w:rPr>
          <w:sz w:val="28"/>
          <w:szCs w:val="28"/>
          <w:rFonts w:ascii="宋体" w:eastAsia="宋体" w:hAnsi="宋体" w:cs="宋体" w:hint="eastAsia"/>
        </w:rPr>
        <w:t xml:space="preserve">第三部分 办学基础条件</w:t>
      </w:r>
      <w:bookmarkEnd w:id="4"/>
    </w:p>
    <w:p>
      <w:pPr>
        <w:pStyle w:val="PO9"/>
        <w:spacing w:lineRule="exact" w:line="480"/>
        <w:rPr>
          <w:sz w:val="28"/>
          <w:szCs w:val="28"/>
          <w:rFonts w:ascii="宋体" w:eastAsia="宋体" w:hAnsi="宋体" w:cs="宋体"/>
        </w:rPr>
      </w:pPr>
      <w:r>
        <w:rPr/>
        <w:t xml:space="preserve">    </w:t>
      </w:r>
      <w:bookmarkStart w:id="5" w:name="_Toc530555713"/>
      <w:r>
        <w:rPr>
          <w:sz w:val="28"/>
          <w:szCs w:val="28"/>
          <w:rFonts w:ascii="宋体" w:eastAsia="宋体" w:hAnsi="宋体" w:cs="宋体" w:hint="eastAsia"/>
        </w:rPr>
        <w:t>一、基础办学条件</w:t>
      </w:r>
      <w:bookmarkEnd w:id="5"/>
    </w:p>
    <w:p>
      <w:pPr>
        <w:jc w:val="left"/>
        <w:spacing w:lineRule="exact" w:line="480"/>
        <w:ind w:left="283" w:firstLine="280"/>
        <w:rPr>
          <w:b w:val="1"/>
          <w:sz w:val="28"/>
          <w:szCs w:val="28"/>
          <w:rFonts w:ascii="宋体" w:eastAsia="宋体" w:hAnsi="宋体" w:cs="宋体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（一）</w:t>
      </w:r>
      <w:r>
        <w:rPr>
          <w:b w:val="1"/>
          <w:sz w:val="28"/>
          <w:szCs w:val="28"/>
          <w:rFonts w:ascii="宋体" w:eastAsia="宋体" w:hAnsi="宋体" w:cs="宋体"/>
        </w:rPr>
        <w:t>生均财政拨款</w:t>
      </w:r>
    </w:p>
    <w:p>
      <w:pPr>
        <w:spacing w:lineRule="exact" w:line="48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近三年，生均财政拨款</w:t>
      </w:r>
      <w:r>
        <w:rPr>
          <w:sz w:val="28"/>
          <w:szCs w:val="28"/>
          <w:rFonts w:ascii="宋体" w:eastAsia="宋体" w:hAnsi="宋体" w:cs="宋体" w:hint="eastAsia"/>
        </w:rPr>
        <w:t>数据如下</w:t>
      </w:r>
      <w:r>
        <w:rPr>
          <w:color w:val="auto"/>
          <w:sz w:val="28"/>
          <w:szCs w:val="28"/>
          <w:rFonts w:ascii="宋体" w:eastAsia="宋体" w:hAnsi="宋体" w:cs="宋体" w:hint="eastAsia"/>
        </w:rPr>
        <w:t xml:space="preserve">：2017年为 17552.35万元，</w:t>
      </w:r>
      <w:r>
        <w:rPr>
          <w:color w:val="auto"/>
          <w:sz w:val="28"/>
          <w:szCs w:val="28"/>
          <w:rFonts w:ascii="宋体" w:eastAsia="宋体" w:hAnsi="宋体" w:cs="宋体" w:hint="eastAsia"/>
        </w:rPr>
        <w:t xml:space="preserve">2018 年为17711.13万元，201</w:t>
      </w:r>
      <w:r>
        <w:rPr>
          <w:color w:val="auto"/>
          <w:sz w:val="28"/>
          <w:szCs w:val="28"/>
          <w:rFonts w:ascii="宋体" w:eastAsia="宋体" w:hAnsi="宋体" w:cs="宋体"/>
        </w:rPr>
        <w:t xml:space="preserve">9年为 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18354.86</w:t>
      </w:r>
      <w:r>
        <w:rPr>
          <w:color w:val="auto"/>
          <w:sz w:val="28"/>
          <w:szCs w:val="28"/>
          <w:rFonts w:ascii="宋体" w:eastAsia="宋体" w:hAnsi="宋体" w:cs="宋体"/>
        </w:rPr>
        <w:t>万元，具体明细如</w:t>
      </w:r>
      <w:r>
        <w:rPr>
          <w:color w:val="auto"/>
          <w:sz w:val="28"/>
          <w:szCs w:val="28"/>
          <w:rFonts w:ascii="宋体" w:eastAsia="宋体" w:hAnsi="宋体" w:cs="宋体"/>
        </w:rPr>
        <w:t>表所示：</w:t>
      </w: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 xml:space="preserve">表1  2017-2019年学院财政拨款</w:t>
      </w:r>
    </w:p>
    <w:tbl>
      <w:tblID w:val="0"/>
      <w:tblP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505" w:type="dxa"/>
        <w:tblInd w:w="10" w:type="dxa"/>
        <w:tblLook w:val="000000" w:firstRow="0" w:lastRow="0" w:firstColumn="0" w:lastColumn="0" w:noHBand="0" w:noVBand="0"/>
        <w:tblLayout w:type="fixed"/>
      </w:tblPr>
      <w:tblGrid>
        <w:gridCol w:w="3820"/>
        <w:gridCol w:w="1610"/>
        <w:gridCol w:w="1418"/>
        <w:gridCol w:w="1657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55"/>
        </w:trPr>
        <w:tc>
          <w:tcPr>
            <w:tcW w:type="dxa" w:w="3820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年度</w:t>
            </w:r>
          </w:p>
        </w:tc>
        <w:tc>
          <w:tcPr>
            <w:tcW w:type="dxa" w:w="1610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2017年</w:t>
            </w:r>
          </w:p>
        </w:tc>
        <w:tc>
          <w:tcPr>
            <w:tcW w:type="dxa" w:w="141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2018年</w:t>
            </w:r>
          </w:p>
        </w:tc>
        <w:tc>
          <w:tcPr>
            <w:tcW w:type="dxa" w:w="1657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2019年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555"/>
        </w:trPr>
        <w:tc>
          <w:tcPr>
            <w:tcW w:type="dxa" w:w="3820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国家财政性教育经费（万元）</w:t>
            </w:r>
          </w:p>
        </w:tc>
        <w:tc>
          <w:tcPr>
            <w:tcW w:type="dxa" w:w="1610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17552.35</w:t>
            </w:r>
          </w:p>
        </w:tc>
        <w:tc>
          <w:tcPr>
            <w:tcW w:type="dxa" w:w="141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17711.13</w:t>
            </w:r>
          </w:p>
        </w:tc>
        <w:tc>
          <w:tcPr>
            <w:tcW w:type="dxa" w:w="1657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18354.86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55"/>
        </w:trPr>
        <w:tc>
          <w:tcPr>
            <w:tcW w:type="dxa" w:w="3820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事业收入（万元）</w:t>
            </w:r>
          </w:p>
        </w:tc>
        <w:tc>
          <w:tcPr>
            <w:tcW w:type="dxa" w:w="1610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4681.79</w:t>
            </w:r>
          </w:p>
        </w:tc>
        <w:tc>
          <w:tcPr>
            <w:tcW w:type="dxa" w:w="141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5417.64</w:t>
            </w:r>
          </w:p>
        </w:tc>
        <w:tc>
          <w:tcPr>
            <w:tcW w:type="dxa" w:w="1657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5060.62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555"/>
        </w:trPr>
        <w:tc>
          <w:tcPr>
            <w:tcW w:type="dxa" w:w="3820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公共财政预算经费（万元）</w:t>
            </w:r>
          </w:p>
        </w:tc>
        <w:tc>
          <w:tcPr>
            <w:tcW w:type="dxa" w:w="1610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14313.30</w:t>
            </w:r>
          </w:p>
        </w:tc>
        <w:tc>
          <w:tcPr>
            <w:tcW w:type="dxa" w:w="141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14612.26</w:t>
            </w:r>
          </w:p>
        </w:tc>
        <w:tc>
          <w:tcPr>
            <w:tcW w:type="dxa" w:w="1657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16401.40</w:t>
            </w:r>
          </w:p>
        </w:tc>
      </w:tr>
    </w:tbl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18" type="#_x0000_t75" style="position:absolute;left:0;margin-left:0pt;mso-position-horizontal:absolute;mso-position-horizontal-relative:text;margin-top:11pt;mso-position-vertical:absolute;mso-position-vertical-relative:text;width:428.2pt;height:188.1pt;z-index:-251624968" filled="t">
            <v:imagedata r:id="rId12" o:title=" "/>
          </v:shape>
        </w:pict>
      </w: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</w:p>
    <w:p>
      <w:pPr>
        <w:jc w:val="center"/>
        <w:spacing w:lineRule="exact" w:line="480" w:before="120" w:after="120"/>
        <w:ind w:firstLine="640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/>
        </w:rPr>
        <w:t>表</w:t>
      </w:r>
      <w:r>
        <w:rPr>
          <w:b w:val="1"/>
          <w:rFonts w:ascii="仿宋" w:eastAsia="仿宋" w:hAnsi="仿宋" w:hint="eastAsia"/>
        </w:rPr>
        <w:t xml:space="preserve">2  </w:t>
      </w:r>
      <w:r>
        <w:rPr>
          <w:b w:val="1"/>
          <w:rFonts w:ascii="仿宋" w:eastAsia="仿宋" w:hAnsi="仿宋"/>
        </w:rPr>
        <w:t>2017-2019年生均财政拨款明细表</w:t>
      </w:r>
    </w:p>
    <w:tbl>
      <w:tblID w:val="0"/>
      <w:tblP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505" w:type="dxa"/>
        <w:tblInd w:w="10" w:type="dxa"/>
        <w:tblLook w:val="000000" w:firstRow="0" w:lastRow="0" w:firstColumn="0" w:lastColumn="0" w:noHBand="0" w:noVBand="0"/>
        <w:tblLayout w:type="fixed"/>
      </w:tblPr>
      <w:tblGrid>
        <w:gridCol w:w="3820"/>
        <w:gridCol w:w="1610"/>
        <w:gridCol w:w="1418"/>
        <w:gridCol w:w="1657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17"/>
        </w:trPr>
        <w:tc>
          <w:tcPr>
            <w:tcW w:type="dxa" w:w="3820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年度</w:t>
            </w:r>
          </w:p>
        </w:tc>
        <w:tc>
          <w:tcPr>
            <w:tcW w:type="dxa" w:w="1610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2017年</w:t>
            </w:r>
          </w:p>
        </w:tc>
        <w:tc>
          <w:tcPr>
            <w:tcW w:type="dxa" w:w="141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2018年</w:t>
            </w:r>
          </w:p>
        </w:tc>
        <w:tc>
          <w:tcPr>
            <w:tcW w:type="dxa" w:w="1657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2019年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517"/>
        </w:trPr>
        <w:tc>
          <w:tcPr>
            <w:tcW w:type="dxa" w:w="3820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国家财政性教育经费（万元）</w:t>
            </w:r>
          </w:p>
        </w:tc>
        <w:tc>
          <w:tcPr>
            <w:tcW w:type="dxa" w:w="1610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17552.35</w:t>
            </w:r>
          </w:p>
        </w:tc>
        <w:tc>
          <w:tcPr>
            <w:tcW w:type="dxa" w:w="141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17711.13</w:t>
            </w:r>
          </w:p>
        </w:tc>
        <w:tc>
          <w:tcPr>
            <w:tcW w:type="dxa" w:w="1657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17711.13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17"/>
        </w:trPr>
        <w:tc>
          <w:tcPr>
            <w:tcW w:type="dxa" w:w="3820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在校生人数（人）</w:t>
            </w:r>
          </w:p>
        </w:tc>
        <w:tc>
          <w:tcPr>
            <w:tcW w:type="dxa" w:w="1610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6984</w:t>
            </w:r>
          </w:p>
        </w:tc>
        <w:tc>
          <w:tcPr>
            <w:tcW w:type="dxa" w:w="141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6866</w:t>
            </w:r>
          </w:p>
        </w:tc>
        <w:tc>
          <w:tcPr>
            <w:tcW w:type="dxa" w:w="1657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7757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517"/>
        </w:trPr>
        <w:tc>
          <w:tcPr>
            <w:tcW w:type="dxa" w:w="3820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生均财政拨款水平（元/人）</w:t>
            </w:r>
          </w:p>
        </w:tc>
        <w:tc>
          <w:tcPr>
            <w:tcW w:type="dxa" w:w="1610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25132</w:t>
            </w:r>
          </w:p>
        </w:tc>
        <w:tc>
          <w:tcPr>
            <w:tcW w:type="dxa" w:w="141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25795</w:t>
            </w:r>
          </w:p>
        </w:tc>
        <w:tc>
          <w:tcPr>
            <w:tcW w:type="dxa" w:w="1657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22832</w:t>
            </w:r>
          </w:p>
        </w:tc>
      </w:tr>
    </w:tbl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 w:hint="eastAsia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0" type="#_x0000_t75" style="position:absolute;left:0;margin-left:0pt;mso-position-horizontal:absolute;mso-position-horizontal-relative:text;margin-top:8pt;mso-position-vertical:absolute;mso-position-vertical-relative:text;width:423.0pt;height:189.5pt;z-index:-251624969" filled="t">
            <v:imagedata r:id="rId13" o:title=" "/>
          </v:shape>
        </w:pict>
      </w:r>
    </w:p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 w:before="120"/>
        <w:ind w:firstLine="643"/>
        <w:rPr>
          <w:b w:val="1"/>
          <w:sz w:val="28"/>
          <w:szCs w:val="28"/>
          <w:rFonts w:ascii="宋体" w:eastAsia="宋体" w:hAnsi="宋体" w:cs="宋体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（二）占地面积</w:t>
      </w:r>
    </w:p>
    <w:p>
      <w:pPr>
        <w:spacing w:lineRule="exact" w:line="480"/>
        <w:ind w:firstLine="64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学院校园占地面积308588平方米，其中教学科研与辅助用房</w:t>
      </w:r>
      <w:r>
        <w:rPr>
          <w:sz w:val="28"/>
          <w:szCs w:val="28"/>
          <w:rFonts w:ascii="宋体" w:eastAsia="宋体" w:hAnsi="宋体" w:cs="宋体" w:hint="eastAsia"/>
        </w:rPr>
        <w:t>面积134027，行政办公用房面积6471.19平方米。</w:t>
      </w:r>
    </w:p>
    <w:p>
      <w:pPr>
        <w:spacing w:lineRule="exact" w:line="480"/>
        <w:ind w:firstLine="640"/>
        <w:rPr>
          <w:b w:val="1"/>
          <w:sz w:val="28"/>
          <w:szCs w:val="28"/>
          <w:rFonts w:ascii="宋体" w:eastAsia="宋体" w:hAnsi="宋体" w:cs="宋体" w:hint="eastAsia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（三）校内外实践实训基地</w:t>
      </w:r>
    </w:p>
    <w:p>
      <w:pPr>
        <w:spacing w:lineRule="exact" w:line="48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目前，学院校内实践基地167个，校外实习实训基地205个，正</w:t>
      </w:r>
      <w:r>
        <w:rPr>
          <w:sz w:val="28"/>
          <w:szCs w:val="28"/>
          <w:rFonts w:ascii="宋体" w:eastAsia="宋体" w:hAnsi="宋体" w:cs="宋体" w:hint="eastAsia"/>
        </w:rPr>
        <w:t>在开展校企合作的企业数165个，实践教学工位数5025个。</w:t>
      </w:r>
    </w:p>
    <w:p>
      <w:pPr>
        <w:spacing w:lineRule="exact" w:line="480"/>
        <w:ind w:firstLine="630"/>
        <w:rPr>
          <w:b w:val="1"/>
          <w:sz w:val="28"/>
          <w:szCs w:val="28"/>
          <w:rFonts w:ascii="宋体" w:eastAsia="宋体" w:hAnsi="宋体" w:cs="宋体"/>
        </w:rPr>
      </w:pPr>
      <w:r>
        <w:rPr>
          <w:b w:val="1"/>
          <w:sz w:val="28"/>
          <w:szCs w:val="28"/>
          <w:rFonts w:ascii="宋体" w:eastAsia="宋体" w:hAnsi="宋体" w:cs="宋体"/>
        </w:rPr>
        <w:t>（</w:t>
      </w:r>
      <w:r>
        <w:rPr>
          <w:b w:val="1"/>
          <w:sz w:val="28"/>
          <w:szCs w:val="28"/>
          <w:rFonts w:ascii="宋体" w:eastAsia="宋体" w:hAnsi="宋体" w:cs="宋体" w:hint="eastAsia"/>
        </w:rPr>
        <w:t>四</w:t>
      </w:r>
      <w:r>
        <w:rPr>
          <w:b w:val="1"/>
          <w:sz w:val="28"/>
          <w:szCs w:val="28"/>
          <w:rFonts w:ascii="宋体" w:eastAsia="宋体" w:hAnsi="宋体" w:cs="宋体"/>
        </w:rPr>
        <w:t>）教学仪器设备</w:t>
      </w:r>
    </w:p>
    <w:p>
      <w:pPr>
        <w:spacing w:lineRule="exact" w:line="48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为保证一体化教学开展，</w:t>
      </w:r>
      <w:r>
        <w:rPr>
          <w:sz w:val="28"/>
          <w:szCs w:val="28"/>
          <w:rFonts w:ascii="宋体" w:eastAsia="宋体" w:hAnsi="宋体" w:cs="宋体"/>
        </w:rPr>
        <w:t>学院</w:t>
      </w:r>
      <w:r>
        <w:rPr>
          <w:sz w:val="28"/>
          <w:szCs w:val="28"/>
          <w:rFonts w:ascii="宋体" w:eastAsia="宋体" w:hAnsi="宋体" w:cs="宋体" w:hint="eastAsia"/>
        </w:rPr>
        <w:t>逐年增加</w:t>
      </w:r>
      <w:r>
        <w:rPr>
          <w:sz w:val="28"/>
          <w:szCs w:val="28"/>
          <w:rFonts w:ascii="宋体" w:eastAsia="宋体" w:hAnsi="宋体" w:cs="宋体"/>
        </w:rPr>
        <w:t>教学仪器设备的投入</w:t>
      </w:r>
      <w:r>
        <w:rPr>
          <w:sz w:val="28"/>
          <w:szCs w:val="28"/>
          <w:rFonts w:ascii="宋体" w:eastAsia="宋体" w:hAnsi="宋体" w:cs="宋体" w:hint="eastAsia"/>
        </w:rPr>
        <w:t>，</w:t>
      </w:r>
      <w:r>
        <w:rPr>
          <w:sz w:val="28"/>
          <w:szCs w:val="28"/>
          <w:rFonts w:ascii="宋体" w:eastAsia="宋体" w:hAnsi="宋体" w:cs="宋体"/>
        </w:rPr>
        <w:t>2</w:t>
      </w:r>
      <w:r>
        <w:rPr>
          <w:sz w:val="28"/>
          <w:szCs w:val="28"/>
          <w:rFonts w:ascii="宋体" w:eastAsia="宋体" w:hAnsi="宋体" w:cs="宋体"/>
        </w:rPr>
        <w:t>017年</w:t>
      </w:r>
      <w:r>
        <w:rPr>
          <w:sz w:val="28"/>
          <w:szCs w:val="28"/>
          <w:rFonts w:ascii="宋体" w:eastAsia="宋体" w:hAnsi="宋体" w:cs="宋体" w:hint="eastAsia"/>
        </w:rPr>
        <w:t>教学仪器设备值达到5501.92万</w:t>
      </w:r>
      <w:r>
        <w:rPr>
          <w:sz w:val="28"/>
          <w:szCs w:val="28"/>
          <w:rFonts w:ascii="宋体" w:eastAsia="宋体" w:hAnsi="宋体" w:cs="宋体"/>
        </w:rPr>
        <w:t>元，2018年</w:t>
      </w:r>
      <w:r>
        <w:rPr>
          <w:sz w:val="28"/>
          <w:szCs w:val="28"/>
          <w:rFonts w:ascii="宋体" w:eastAsia="宋体" w:hAnsi="宋体" w:cs="宋体" w:hint="eastAsia"/>
        </w:rPr>
        <w:t>为6120.03万</w:t>
      </w:r>
      <w:r>
        <w:rPr>
          <w:sz w:val="28"/>
          <w:szCs w:val="28"/>
          <w:rFonts w:ascii="宋体" w:eastAsia="宋体" w:hAnsi="宋体" w:cs="宋体"/>
        </w:rPr>
        <w:t>元；2</w:t>
      </w:r>
      <w:r>
        <w:rPr>
          <w:sz w:val="28"/>
          <w:szCs w:val="28"/>
          <w:rFonts w:ascii="宋体" w:eastAsia="宋体" w:hAnsi="宋体" w:cs="宋体"/>
        </w:rPr>
        <w:t>019年</w:t>
      </w:r>
      <w:r>
        <w:rPr>
          <w:sz w:val="28"/>
          <w:szCs w:val="28"/>
          <w:rFonts w:ascii="宋体" w:eastAsia="宋体" w:hAnsi="宋体" w:cs="宋体" w:hint="eastAsia"/>
        </w:rPr>
        <w:t>为6461.22万元。</w:t>
      </w:r>
    </w:p>
    <w:p>
      <w:pPr>
        <w:jc w:val="center"/>
        <w:spacing w:lineRule="exact" w:line="480" w:before="120" w:after="120"/>
        <w:rPr>
          <w:b w:val="1"/>
          <w:rFonts w:ascii="仿宋" w:eastAsia="仿宋" w:hAnsi="仿宋" w:hint="eastAsia"/>
        </w:rPr>
      </w:pPr>
    </w:p>
    <w:p>
      <w:pPr>
        <w:jc w:val="center"/>
        <w:spacing w:lineRule="exact" w:line="480" w:before="120" w:after="120"/>
        <w:rPr>
          <w:b w:val="1"/>
          <w:rFonts w:ascii="仿宋" w:eastAsia="仿宋" w:hAnsi="仿宋" w:hint="eastAsia"/>
        </w:rPr>
      </w:pPr>
    </w:p>
    <w:p>
      <w:pPr>
        <w:jc w:val="center"/>
        <w:spacing w:lineRule="exact" w:line="480" w:before="120" w:after="120"/>
        <w:rPr>
          <w:b w:val="1"/>
          <w:rFonts w:ascii="仿宋" w:eastAsia="仿宋" w:hAnsi="仿宋" w:hint="eastAsia"/>
        </w:rPr>
      </w:pPr>
    </w:p>
    <w:p>
      <w:pPr>
        <w:jc w:val="center"/>
        <w:spacing w:lineRule="exact" w:line="480" w:before="120" w:after="120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 xml:space="preserve">表3 生均教学仪器设备值表</w:t>
      </w:r>
    </w:p>
    <w:tbl>
      <w:tblID w:val="0"/>
      <w:tblP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222" w:type="dxa"/>
        <w:jc w:val="center"/>
        <w:tblLook w:val="000000" w:firstRow="0" w:lastRow="0" w:firstColumn="0" w:lastColumn="0" w:noHBand="0" w:noVBand="0"/>
        <w:tblLayout w:type="fixed"/>
      </w:tblPr>
      <w:tblGrid>
        <w:gridCol w:w="3638"/>
        <w:gridCol w:w="1528"/>
        <w:gridCol w:w="1528"/>
        <w:gridCol w:w="1528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57"/>
        </w:trPr>
        <w:tc>
          <w:tcPr>
            <w:tcW w:type="dxa" w:w="363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项目</w:t>
            </w:r>
          </w:p>
        </w:tc>
        <w:tc>
          <w:tcPr>
            <w:tcW w:type="dxa" w:w="152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2017年</w:t>
            </w:r>
          </w:p>
        </w:tc>
        <w:tc>
          <w:tcPr>
            <w:tcW w:type="dxa" w:w="152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2018年</w:t>
            </w:r>
          </w:p>
        </w:tc>
        <w:tc>
          <w:tcPr>
            <w:tcW w:type="dxa" w:w="152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2019年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557"/>
        </w:trPr>
        <w:tc>
          <w:tcPr>
            <w:tcW w:type="dxa" w:w="363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教学仪器设备值（万元）</w:t>
            </w:r>
          </w:p>
        </w:tc>
        <w:tc>
          <w:tcPr>
            <w:tcW w:type="dxa" w:w="152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5501.92</w:t>
            </w:r>
          </w:p>
        </w:tc>
        <w:tc>
          <w:tcPr>
            <w:tcW w:type="dxa" w:w="152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6120.03</w:t>
            </w:r>
          </w:p>
        </w:tc>
        <w:tc>
          <w:tcPr>
            <w:tcW w:type="dxa" w:w="152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6461.22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57"/>
        </w:trPr>
        <w:tc>
          <w:tcPr>
            <w:tcW w:type="dxa" w:w="363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在校生人数（人）</w:t>
            </w:r>
          </w:p>
        </w:tc>
        <w:tc>
          <w:tcPr>
            <w:tcW w:type="dxa" w:w="152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6984</w:t>
            </w:r>
          </w:p>
        </w:tc>
        <w:tc>
          <w:tcPr>
            <w:tcW w:type="dxa" w:w="1528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6866</w:t>
            </w:r>
          </w:p>
        </w:tc>
        <w:tc>
          <w:tcPr>
            <w:tcW w:type="dxa" w:w="152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7757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557"/>
        </w:trPr>
        <w:tc>
          <w:tcPr>
            <w:tcW w:type="dxa" w:w="363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生均教学仪器设备值（元/人）</w:t>
            </w:r>
          </w:p>
        </w:tc>
        <w:tc>
          <w:tcPr>
            <w:tcW w:type="dxa" w:w="152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7878</w:t>
            </w:r>
          </w:p>
        </w:tc>
        <w:tc>
          <w:tcPr>
            <w:tcW w:type="dxa" w:w="1528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8913</w:t>
            </w:r>
          </w:p>
        </w:tc>
        <w:tc>
          <w:tcPr>
            <w:tcW w:type="dxa" w:w="152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8330</w:t>
            </w:r>
          </w:p>
        </w:tc>
      </w:tr>
    </w:tbl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2" type="#_x0000_t75" style="position:absolute;left:0;margin-left:6pt;mso-position-horizontal:absolute;mso-position-horizontal-relative:text;margin-top:15pt;mso-position-vertical:absolute;mso-position-vertical-relative:text;width:408.7pt;height:177.0pt;z-index:-251624975" filled="t">
            <v:imagedata r:id="rId14" o:title=" "/>
          </v:shape>
        </w:pict>
      </w: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 xml:space="preserve">    </w:t>
      </w:r>
      <w:bookmarkStart w:id="6" w:name="_Toc530555714"/>
      <w:r>
        <w:rPr>
          <w:sz w:val="28"/>
          <w:szCs w:val="28"/>
          <w:rFonts w:ascii="宋体" w:eastAsia="宋体" w:hAnsi="宋体" w:cs="宋体" w:hint="eastAsia"/>
        </w:rPr>
        <w:t>二、师资队伍</w:t>
      </w:r>
      <w:bookmarkEnd w:id="6"/>
    </w:p>
    <w:p>
      <w:pPr>
        <w:jc w:val="left"/>
        <w:spacing w:lineRule="exact" w:line="480" w:before="0" w:after="0"/>
        <w:ind w:firstLine="566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 w:hint="eastAsia"/>
        </w:rPr>
        <w:t>学院依据《“十三五”师资队伍建设发展规划》《关于加强对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青年教师培养的意见》《教师学历学位进修提高计划》等文件要求，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学院采取引进、培养、聘用等多种形式，努力改善和提高师资队伍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的整体素质和水平。</w:t>
      </w:r>
    </w:p>
    <w:p>
      <w:pPr>
        <w:jc w:val="left"/>
        <w:spacing w:lineRule="exact" w:line="480" w:before="0" w:after="0"/>
        <w:ind w:firstLine="566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 w:hint="eastAsia"/>
        </w:rPr>
        <w:t>学院现有教职工共723人，其中专任教师475人，专业教师数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282人，双师型教师297人。</w:t>
      </w:r>
    </w:p>
    <w:p>
      <w:pPr>
        <w:jc w:val="left"/>
        <w:spacing w:lineRule="exact" w:line="480" w:before="0" w:after="0"/>
        <w:ind w:firstLine="566"/>
        <w:rPr>
          <w:color w:val="auto"/>
          <w:sz w:val="28"/>
          <w:szCs w:val="28"/>
          <w:rFonts w:ascii="宋体" w:eastAsia="宋体" w:hAnsi="宋体" w:cs="宋体" w:hint="eastAsia"/>
        </w:rPr>
      </w:pPr>
      <w:r>
        <w:rPr>
          <w:color w:val="auto"/>
          <w:sz w:val="28"/>
          <w:szCs w:val="28"/>
          <w:rFonts w:ascii="宋体" w:eastAsia="宋体" w:hAnsi="宋体" w:cs="宋体" w:hint="eastAsia"/>
        </w:rPr>
        <w:t>在教学中，学院积极聘用兼职教师，保证实践课程质量。三年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来，聘请企业兼职教师数量逐年增加，具体如下：</w:t>
      </w:r>
    </w:p>
    <w:tbl>
      <w:tblID w:val="0"/>
      <w:tblPr>
        <w:tblStyle w:val="PO37"/>
        <w:tblCellMar>
          <w:left w:w="108" w:type="dxa"/>
          <w:top w:w="0" w:type="dxa"/>
          <w:right w:w="108" w:type="dxa"/>
          <w:bottom w:w="0" w:type="dxa"/>
        </w:tblCellMar>
        <w:tblW w:w="8478" w:type="dxa"/>
        <w:tblInd w:w="-124" w:type="dxa"/>
        <w:tblLook w:val="0004A0" w:firstRow="1" w:lastRow="0" w:firstColumn="1" w:lastColumn="0" w:noHBand="0" w:noVBand="1"/>
        <w:tblLayout w:type="fixed"/>
      </w:tblPr>
      <w:tblGrid>
        <w:gridCol w:w="2826"/>
        <w:gridCol w:w="2826"/>
        <w:gridCol w:w="2826"/>
      </w:tblGrid>
      <w:tr>
        <w:trPr>
          <w:trHeight w:hRule="atleast" w:val="494"/>
        </w:trPr>
        <w:tc>
          <w:tcPr>
            <w:tcW w:type="dxa" w:w="2826"/>
            <w:vAlign w:val="top"/>
          </w:tcPr>
          <w:p>
            <w:pPr>
              <w:jc w:val="center"/>
              <w:spacing w:lineRule="exact" w:line="480"/>
              <w:ind w:left="0" w:right="0" w:firstLine="0"/>
              <w:rPr>
                <w:b w:val="1"/>
                <w:sz w:val="28"/>
                <w:szCs w:val="28"/>
                <w:rFonts w:ascii="仿宋" w:eastAsia="仿宋" w:hAnsi="仿宋" w:hint="eastAsia"/>
              </w:rPr>
            </w:pPr>
            <w:r>
              <w:rPr>
                <w:b w:val="1"/>
                <w:sz w:val="28"/>
                <w:szCs w:val="28"/>
                <w:rFonts w:ascii="仿宋" w:eastAsia="仿宋" w:hAnsi="仿宋" w:hint="eastAsia"/>
              </w:rPr>
              <w:t>年度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exact" w:line="480"/>
              <w:ind w:left="0" w:right="0" w:firstLine="0"/>
              <w:rPr>
                <w:b w:val="1"/>
                <w:sz w:val="28"/>
                <w:szCs w:val="28"/>
                <w:rFonts w:ascii="仿宋" w:eastAsia="仿宋" w:hAnsi="仿宋" w:hint="eastAsia"/>
              </w:rPr>
            </w:pPr>
            <w:r>
              <w:rPr>
                <w:b w:val="1"/>
                <w:sz w:val="28"/>
                <w:szCs w:val="28"/>
                <w:rFonts w:ascii="仿宋" w:eastAsia="仿宋" w:hAnsi="仿宋" w:hint="eastAsia"/>
              </w:rPr>
              <w:t>兼职教师人数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exact" w:line="480"/>
              <w:ind w:left="0" w:right="0" w:firstLine="0"/>
              <w:rPr>
                <w:b w:val="1"/>
                <w:sz w:val="28"/>
                <w:szCs w:val="28"/>
                <w:rFonts w:ascii="仿宋" w:eastAsia="仿宋" w:hAnsi="仿宋" w:hint="eastAsia"/>
              </w:rPr>
            </w:pPr>
            <w:r>
              <w:rPr>
                <w:b w:val="1"/>
                <w:sz w:val="28"/>
                <w:szCs w:val="28"/>
                <w:rFonts w:ascii="仿宋" w:eastAsia="仿宋" w:hAnsi="仿宋" w:hint="eastAsia"/>
              </w:rPr>
              <w:t>课时酬金</w:t>
            </w:r>
          </w:p>
        </w:tc>
      </w:tr>
      <w:tr>
        <w:trPr>
          <w:trHeight w:hRule="atleast" w:val="470"/>
        </w:trPr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2017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25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169556</w:t>
            </w:r>
          </w:p>
        </w:tc>
      </w:tr>
      <w:tr>
        <w:trPr>
          <w:trHeight w:hRule="atleast" w:val="470"/>
        </w:trPr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2018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52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227855</w:t>
            </w:r>
          </w:p>
        </w:tc>
      </w:tr>
      <w:tr>
        <w:trPr>
          <w:trHeight w:hRule="atleast" w:val="470"/>
        </w:trPr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2019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56</w:t>
            </w:r>
          </w:p>
        </w:tc>
        <w:tc>
          <w:tcPr>
            <w:tcW w:type="dxa" w:w="2826"/>
            <w:vAlign w:val="top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162234</w:t>
            </w:r>
          </w:p>
        </w:tc>
      </w:tr>
    </w:tbl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</w:p>
    <w:p>
      <w:pPr>
        <w:pStyle w:val="PO9"/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  <w:bookmarkStart w:id="7" w:name="_Toc530555715"/>
      <w:r>
        <w:rPr>
          <w:sz w:val="28"/>
          <w:szCs w:val="28"/>
          <w:rFonts w:ascii="宋体" w:eastAsia="宋体" w:hAnsi="宋体" w:cs="宋体" w:hint="eastAsia"/>
        </w:rPr>
        <w:t>三、信息化教学</w:t>
      </w:r>
      <w:bookmarkEnd w:id="7"/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目前，我院已实现了校园有线、全院无线无缝覆盖，在校园无</w:t>
      </w:r>
      <w:r>
        <w:rPr>
          <w:sz w:val="28"/>
          <w:szCs w:val="28"/>
          <w:rFonts w:ascii="宋体" w:eastAsia="宋体" w:hAnsi="宋体" w:cs="宋体" w:hint="eastAsia"/>
        </w:rPr>
        <w:t>线网络部署了用户管理系统，实现了对办公无线用户的无感知认证</w:t>
      </w:r>
      <w:r>
        <w:rPr>
          <w:sz w:val="28"/>
          <w:szCs w:val="28"/>
          <w:rFonts w:ascii="宋体" w:eastAsia="宋体" w:hAnsi="宋体" w:cs="宋体" w:hint="eastAsia"/>
        </w:rPr>
        <w:t>和管理。2019年智慧校园建设工作开展情况及其在改进教学、优化</w:t>
      </w:r>
      <w:r>
        <w:rPr>
          <w:sz w:val="28"/>
          <w:szCs w:val="28"/>
          <w:rFonts w:ascii="宋体" w:eastAsia="宋体" w:hAnsi="宋体" w:cs="宋体" w:hint="eastAsia"/>
        </w:rPr>
        <w:t>管理、提升绩效等方面发挥作用情况：完成校园安防视频监控系统</w:t>
      </w:r>
      <w:r>
        <w:rPr>
          <w:sz w:val="28"/>
          <w:szCs w:val="28"/>
          <w:rFonts w:ascii="宋体" w:eastAsia="宋体" w:hAnsi="宋体" w:cs="宋体" w:hint="eastAsia"/>
        </w:rPr>
        <w:t>核心机房的建设工作，使园安防视频监控系统正式投入使用，为校</w:t>
      </w:r>
      <w:r>
        <w:rPr>
          <w:sz w:val="28"/>
          <w:szCs w:val="28"/>
          <w:rFonts w:ascii="宋体" w:eastAsia="宋体" w:hAnsi="宋体" w:cs="宋体" w:hint="eastAsia"/>
        </w:rPr>
        <w:t>园安全提供技术保证；完成学院校园网无线网络扩容项目的施工工</w:t>
      </w:r>
      <w:r>
        <w:rPr>
          <w:sz w:val="28"/>
          <w:szCs w:val="28"/>
          <w:rFonts w:ascii="宋体" w:eastAsia="宋体" w:hAnsi="宋体" w:cs="宋体" w:hint="eastAsia"/>
        </w:rPr>
        <w:t>作，安装了281台AP和28台POE交换机，使全院教室实现了无线</w:t>
      </w:r>
      <w:r>
        <w:rPr>
          <w:sz w:val="28"/>
          <w:szCs w:val="28"/>
          <w:rFonts w:ascii="宋体" w:eastAsia="宋体" w:hAnsi="宋体" w:cs="宋体" w:hint="eastAsia"/>
        </w:rPr>
        <w:t>全覆盖，为开展线上、线下教学提供网络条件。</w:t>
      </w:r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完成多媒体教学设备的维护工作，保证多媒体教学正常开展：2</w:t>
      </w:r>
      <w:r>
        <w:rPr>
          <w:sz w:val="28"/>
          <w:szCs w:val="28"/>
          <w:rFonts w:ascii="宋体" w:eastAsia="宋体" w:hAnsi="宋体" w:cs="宋体" w:hint="eastAsia"/>
        </w:rPr>
        <w:t>019年教务处共处理多媒体设备各类问题860多次，更换20台投影</w:t>
      </w:r>
      <w:r>
        <w:rPr>
          <w:sz w:val="28"/>
          <w:szCs w:val="28"/>
          <w:rFonts w:ascii="宋体" w:eastAsia="宋体" w:hAnsi="宋体" w:cs="宋体" w:hint="eastAsia"/>
        </w:rPr>
        <w:t>机、35台计算机主机、22台显示器、8只投影机灯泡，更换5个语</w:t>
      </w:r>
      <w:r>
        <w:rPr>
          <w:sz w:val="28"/>
          <w:szCs w:val="28"/>
          <w:rFonts w:ascii="宋体" w:eastAsia="宋体" w:hAnsi="宋体" w:cs="宋体" w:hint="eastAsia"/>
        </w:rPr>
        <w:t>音教室计算机和音箱，保证了多媒体教学和语音教学的正常开展。</w:t>
      </w:r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完成学院新教学设备采购项目的各项工作：2019年</w:t>
      </w:r>
      <w:r>
        <w:rPr>
          <w:sz w:val="28"/>
          <w:szCs w:val="28"/>
          <w:rFonts w:ascii="宋体" w:eastAsia="宋体" w:hAnsi="宋体" w:cs="宋体" w:hint="eastAsia"/>
        </w:rPr>
        <w:t>新购置</w:t>
      </w:r>
      <w:r>
        <w:rPr>
          <w:sz w:val="28"/>
          <w:szCs w:val="28"/>
          <w:rFonts w:ascii="宋体" w:eastAsia="宋体" w:hAnsi="宋体" w:cs="宋体" w:hint="eastAsia"/>
        </w:rPr>
        <w:t>100</w:t>
      </w:r>
      <w:r>
        <w:rPr>
          <w:sz w:val="28"/>
          <w:szCs w:val="28"/>
          <w:rFonts w:ascii="宋体" w:eastAsia="宋体" w:hAnsi="宋体" w:cs="宋体" w:hint="eastAsia"/>
        </w:rPr>
        <w:t>台笔记本电脑和70台计算机。</w:t>
      </w:r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完成了2020年多媒体设备升级改造财政立项工作。包括15间</w:t>
      </w:r>
      <w:r>
        <w:rPr>
          <w:sz w:val="28"/>
          <w:szCs w:val="28"/>
          <w:rFonts w:ascii="宋体" w:eastAsia="宋体" w:hAnsi="宋体" w:cs="宋体" w:hint="eastAsia"/>
        </w:rPr>
        <w:t>阶梯教室投影设备升级改造为12块55英寸电视拼接屏的技术方案</w:t>
      </w:r>
      <w:r>
        <w:rPr>
          <w:sz w:val="28"/>
          <w:szCs w:val="28"/>
          <w:rFonts w:ascii="宋体" w:eastAsia="宋体" w:hAnsi="宋体" w:cs="宋体" w:hint="eastAsia"/>
        </w:rPr>
        <w:t>编制、预算和项目说明等工作。</w:t>
      </w:r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完成了园艺系2个计算机实训室升级改造和多媒体设备采购项</w:t>
      </w:r>
      <w:r>
        <w:rPr>
          <w:sz w:val="28"/>
          <w:szCs w:val="28"/>
          <w:rFonts w:ascii="宋体" w:eastAsia="宋体" w:hAnsi="宋体" w:cs="宋体" w:hint="eastAsia"/>
        </w:rPr>
        <w:t>目方案的设计和市财政的投资评审工作，完成了市网信办审批手续</w:t>
      </w:r>
      <w:r>
        <w:rPr>
          <w:sz w:val="28"/>
          <w:szCs w:val="28"/>
          <w:rFonts w:ascii="宋体" w:eastAsia="宋体" w:hAnsi="宋体" w:cs="宋体" w:hint="eastAsia"/>
        </w:rPr>
        <w:t>和政府采购文件的多次修改工作，为使项目尽快进入公开招标做好</w:t>
      </w:r>
      <w:r>
        <w:rPr>
          <w:sz w:val="28"/>
          <w:szCs w:val="28"/>
          <w:rFonts w:ascii="宋体" w:eastAsia="宋体" w:hAnsi="宋体" w:cs="宋体" w:hint="eastAsia"/>
        </w:rPr>
        <w:t>了准备。</w:t>
      </w:r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完成了学院校园网、财税专网、政务外网、教育局标准化考试</w:t>
      </w:r>
      <w:r>
        <w:rPr>
          <w:sz w:val="28"/>
          <w:szCs w:val="28"/>
          <w:rFonts w:ascii="宋体" w:eastAsia="宋体" w:hAnsi="宋体" w:cs="宋体" w:hint="eastAsia"/>
        </w:rPr>
        <w:t>网络接入及应用系统维护工作，保证了各项网络畅通、应用系统稳</w:t>
      </w:r>
      <w:r>
        <w:rPr>
          <w:sz w:val="28"/>
          <w:szCs w:val="28"/>
          <w:rFonts w:ascii="宋体" w:eastAsia="宋体" w:hAnsi="宋体" w:cs="宋体" w:hint="eastAsia"/>
        </w:rPr>
        <w:t>定运行。</w:t>
      </w:r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完成了数据平台系统、教务管理系统的安装、升级工作和市级</w:t>
      </w:r>
      <w:r>
        <w:rPr>
          <w:sz w:val="28"/>
          <w:szCs w:val="28"/>
          <w:rFonts w:ascii="宋体" w:eastAsia="宋体" w:hAnsi="宋体" w:cs="宋体" w:hint="eastAsia"/>
        </w:rPr>
        <w:t>财税专网的升级工作。</w:t>
      </w:r>
    </w:p>
    <w:p>
      <w:pPr>
        <w:jc w:val="left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完成了校园网和市政府办政务外网对接工作，实现了学院能够</w:t>
      </w:r>
      <w:r>
        <w:rPr>
          <w:sz w:val="28"/>
          <w:szCs w:val="28"/>
          <w:rFonts w:ascii="宋体" w:eastAsia="宋体" w:hAnsi="宋体" w:cs="宋体" w:hint="eastAsia"/>
        </w:rPr>
        <w:t>通过政务外网接收上级部门下发的文件。</w:t>
      </w:r>
    </w:p>
    <w:p>
      <w:pPr>
        <w:spacing w:lineRule="exact" w:line="480" w:before="120" w:after="120"/>
        <w:ind w:left="357" w:firstLine="2400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 xml:space="preserve">表4 校园网建设</w:t>
      </w: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8400" w:type="dxa"/>
        <w:tblLook w:val="0004A0" w:firstRow="1" w:lastRow="0" w:firstColumn="1" w:lastColumn="0" w:noHBand="0" w:noVBand="1"/>
        <w:tblLayout w:type="fixed"/>
      </w:tblPr>
      <w:tblGrid>
        <w:gridCol w:w="2778"/>
        <w:gridCol w:w="1466"/>
        <w:gridCol w:w="1710"/>
        <w:gridCol w:w="2446"/>
      </w:tblGrid>
      <w:tr>
        <w:trPr>
          <w:trHeight w:hRule="atleast" w:val="1141"/>
        </w:trPr>
        <w:tc>
          <w:tcPr>
            <w:tcW w:type="dxa" w:w="2778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接入互联网出口带宽</w:t>
            </w:r>
          </w:p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（Mbps）</w:t>
            </w:r>
          </w:p>
        </w:tc>
        <w:tc>
          <w:tcPr>
            <w:tcW w:type="dxa" w:w="1466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无线覆盖情况</w:t>
            </w:r>
          </w:p>
        </w:tc>
        <w:tc>
          <w:tcPr>
            <w:tcW w:type="dxa" w:w="171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网络信息点数</w:t>
            </w: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（个）</w:t>
            </w:r>
          </w:p>
        </w:tc>
        <w:tc>
          <w:tcPr>
            <w:tcW w:type="dxa" w:w="2446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教学用终端计算机数</w:t>
            </w: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（台））</w:t>
            </w:r>
          </w:p>
        </w:tc>
      </w:tr>
      <w:tr>
        <w:trPr>
          <w:trHeight w:hRule="atleast" w:val="584"/>
        </w:trPr>
        <w:tc>
          <w:tcPr>
            <w:tcW w:type="dxa" w:w="2778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1000</w:t>
            </w:r>
          </w:p>
        </w:tc>
        <w:tc>
          <w:tcPr>
            <w:tcW w:type="dxa" w:w="1466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全校</w:t>
            </w:r>
          </w:p>
        </w:tc>
        <w:tc>
          <w:tcPr>
            <w:tcW w:type="dxa" w:w="171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 xml:space="preserve">7540 </w:t>
            </w:r>
          </w:p>
        </w:tc>
        <w:tc>
          <w:tcPr>
            <w:tcW w:type="dxa" w:w="2446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2958</w:t>
            </w:r>
          </w:p>
        </w:tc>
      </w:tr>
    </w:tbl>
    <w:p>
      <w:pPr>
        <w:spacing w:lineRule="exact" w:line="366" w:before="120" w:after="120"/>
        <w:ind w:left="357" w:firstLine="2240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>表5信息化管理范围</w:t>
      </w:r>
    </w:p>
    <w:tbl>
      <w:tblID w:val="0"/>
      <w:tblPr>
        <w:tblpPr w:leftFromText="180" w:rightFromText="180" w:vertAnchor="text" w:horzAnchor="margin" w:tblpXSpec="left" w:tblpY="38"/>
        <w:tblOverlap w:val="nev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8430" w:type="dxa"/>
        <w:tblLook w:val="0004A0" w:firstRow="1" w:lastRow="0" w:firstColumn="1" w:lastColumn="0" w:noHBand="0" w:noVBand="1"/>
        <w:tblLayout w:type="fixed"/>
      </w:tblPr>
      <w:tblGrid>
        <w:gridCol w:w="2320"/>
        <w:gridCol w:w="6110"/>
      </w:tblGrid>
      <w:tr>
        <w:trPr>
          <w:trHeight w:hRule="atleast" w:val="558"/>
        </w:trPr>
        <w:tc>
          <w:tcPr>
            <w:tcW w:type="dxa" w:w="232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类型</w:t>
            </w:r>
          </w:p>
        </w:tc>
        <w:tc>
          <w:tcPr>
            <w:tcW w:type="dxa" w:w="611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系统名称(全称)</w:t>
            </w:r>
          </w:p>
        </w:tc>
      </w:tr>
      <w:tr>
        <w:trPr>
          <w:trHeight w:hRule="atleast" w:val="304"/>
        </w:trPr>
        <w:tc>
          <w:tcPr>
            <w:tcW w:type="dxa" w:w="2320"/>
            <w:tcMar>
              <w:top w:w="0" w:type="dxa"/>
              <w:bottom w:w="0" w:type="dxa"/>
            </w:tcMar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行政办公</w:t>
            </w:r>
          </w:p>
        </w:tc>
        <w:tc>
          <w:tcPr>
            <w:tcW w:type="dxa" w:w="6110"/>
            <w:tcMar>
              <w:top w:w="0" w:type="dxa"/>
              <w:bottom w:w="0" w:type="dxa"/>
            </w:tcMar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行政办公管理、校园门户系统</w:t>
            </w:r>
          </w:p>
        </w:tc>
      </w:tr>
      <w:tr>
        <w:trPr>
          <w:trHeight w:hRule="atleast" w:val="332"/>
        </w:trPr>
        <w:tc>
          <w:tcPr>
            <w:tcW w:type="dxa" w:w="232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教学管理</w:t>
            </w:r>
          </w:p>
        </w:tc>
        <w:tc>
          <w:tcPr>
            <w:tcW w:type="dxa" w:w="611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教务网络管理系统、教学质量管理、网络课程及教学系</w:t>
            </w: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统、教学资源库系统</w:t>
            </w:r>
          </w:p>
        </w:tc>
      </w:tr>
      <w:tr>
        <w:trPr>
          <w:trHeight w:hRule="atleast" w:val="402"/>
        </w:trPr>
        <w:tc>
          <w:tcPr>
            <w:tcW w:type="dxa" w:w="232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招生就业</w:t>
            </w:r>
          </w:p>
        </w:tc>
        <w:tc>
          <w:tcPr>
            <w:tcW w:type="dxa" w:w="611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全国普通高校招生管理系统、高校招生计划管理系统</w:t>
            </w:r>
          </w:p>
        </w:tc>
      </w:tr>
      <w:tr>
        <w:trPr>
          <w:trHeight w:hRule="atleast" w:val="393"/>
        </w:trPr>
        <w:tc>
          <w:tcPr>
            <w:tcW w:type="dxa" w:w="232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学生工作</w:t>
            </w:r>
          </w:p>
        </w:tc>
        <w:tc>
          <w:tcPr>
            <w:tcW w:type="dxa" w:w="6110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大学生心理咨询系统、学生管理系统</w:t>
            </w:r>
          </w:p>
        </w:tc>
      </w:tr>
      <w:tr>
        <w:trPr>
          <w:trHeight w:hRule="atleast" w:val="393"/>
        </w:trPr>
        <w:tc>
          <w:tcPr>
            <w:tcW w:type="dxa" w:w="2320"/>
            <w:tcMar>
              <w:top w:w="0" w:type="dxa"/>
              <w:bottom w:w="0" w:type="dxa"/>
            </w:tcMar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信息安全</w:t>
            </w:r>
          </w:p>
        </w:tc>
        <w:tc>
          <w:tcPr>
            <w:tcW w:type="dxa" w:w="6110"/>
            <w:tcMar>
              <w:top w:w="0" w:type="dxa"/>
              <w:bottom w:w="0" w:type="dxa"/>
            </w:tcMar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网络及信息安全系统</w:t>
            </w:r>
          </w:p>
        </w:tc>
      </w:tr>
    </w:tbl>
    <w:p>
      <w:pPr>
        <w:spacing w:lineRule="exact" w:line="480" w:before="0"/>
        <w:ind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学院积极鼓励教师采用信息化教学手段提升教学质量，已完成网</w:t>
      </w:r>
      <w:r>
        <w:rPr>
          <w:sz w:val="28"/>
          <w:szCs w:val="28"/>
          <w:rFonts w:ascii="宋体" w:eastAsia="宋体" w:hAnsi="宋体" w:cs="宋体" w:hint="eastAsia"/>
        </w:rPr>
        <w:t>络课程建设的已达45门，</w:t>
      </w:r>
      <w:r>
        <w:rPr>
          <w:sz w:val="28"/>
          <w:szCs w:val="28"/>
          <w:rFonts w:ascii="宋体" w:eastAsia="宋体" w:hAnsi="宋体" w:cs="宋体"/>
        </w:rPr>
        <w:t>各门课程均成立了课程建设小组，组建团队</w:t>
      </w:r>
      <w:r>
        <w:rPr>
          <w:sz w:val="28"/>
          <w:szCs w:val="28"/>
          <w:rFonts w:ascii="宋体" w:eastAsia="宋体" w:hAnsi="宋体" w:cs="宋体"/>
        </w:rPr>
        <w:t>开展建设。2019年，旅游管理专业群新增信息教学资源有</w:t>
      </w:r>
      <w:bookmarkStart w:id="8" w:name="_Toc14574_WPSOffice_Level3"/>
      <w:bookmarkStart w:id="9" w:name="_Toc28554_WPSOffice_Level3"/>
      <w:r>
        <w:rPr>
          <w:sz w:val="28"/>
          <w:szCs w:val="28"/>
          <w:rFonts w:ascii="宋体" w:eastAsia="宋体" w:hAnsi="宋体" w:cs="宋体"/>
        </w:rPr>
        <w:t>文本类255</w:t>
      </w:r>
      <w:r>
        <w:rPr>
          <w:sz w:val="28"/>
          <w:szCs w:val="28"/>
          <w:rFonts w:ascii="宋体" w:eastAsia="宋体" w:hAnsi="宋体" w:cs="宋体"/>
        </w:rPr>
        <w:t>5个；教学课件852个；题库试题23229道；视频类1138个，其他136</w:t>
      </w:r>
      <w:r>
        <w:rPr>
          <w:sz w:val="28"/>
          <w:szCs w:val="28"/>
          <w:rFonts w:ascii="宋体" w:eastAsia="宋体" w:hAnsi="宋体" w:cs="宋体"/>
        </w:rPr>
        <w:t>0个。</w:t>
      </w:r>
      <w:bookmarkEnd w:id="8"/>
      <w:bookmarkEnd w:id="9"/>
      <w:r>
        <w:rPr>
          <w:sz w:val="28"/>
          <w:szCs w:val="28"/>
          <w:rFonts w:ascii="宋体" w:eastAsia="宋体" w:hAnsi="宋体" w:cs="宋体"/>
        </w:rPr>
        <w:t>使用资源库教学占专业课总学时比例27%，课程使用率100%，题</w:t>
      </w:r>
      <w:r>
        <w:rPr>
          <w:sz w:val="28"/>
          <w:szCs w:val="28"/>
          <w:rFonts w:ascii="宋体" w:eastAsia="宋体" w:hAnsi="宋体" w:cs="宋体"/>
        </w:rPr>
        <w:t>库题目使用率347%，社会学习者277人，累计学习时间140时。畜</w:t>
      </w:r>
      <w:r>
        <w:rPr>
          <w:sz w:val="28"/>
          <w:szCs w:val="28"/>
          <w:rFonts w:ascii="宋体" w:eastAsia="宋体" w:hAnsi="宋体" w:cs="宋体"/>
        </w:rPr>
        <w:t>牧兽医专业群教学资源总数为3510个，增量资源总计1411个，较</w:t>
      </w:r>
      <w:r>
        <w:rPr>
          <w:sz w:val="28"/>
          <w:szCs w:val="28"/>
          <w:rFonts w:ascii="宋体" w:eastAsia="宋体" w:hAnsi="宋体" w:cs="宋体"/>
        </w:rPr>
        <w:t>去年都有大幅增长，</w:t>
      </w:r>
    </w:p>
    <w:p>
      <w:pPr>
        <w:spacing w:lineRule="exact" w:line="366" w:before="120" w:after="120"/>
        <w:ind w:left="357" w:firstLine="1600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 xml:space="preserve">表6 信息化教学资源建设</w:t>
      </w: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8520" w:type="dxa"/>
        <w:tblLook w:val="0004A0" w:firstRow="1" w:lastRow="0" w:firstColumn="1" w:lastColumn="0" w:noHBand="0" w:noVBand="1"/>
        <w:tblLayout w:type="fixed"/>
      </w:tblPr>
      <w:tblGrid>
        <w:gridCol w:w="3276"/>
        <w:gridCol w:w="5244"/>
      </w:tblGrid>
      <w:tr>
        <w:trPr>
          <w:trHeight w:hRule="atleast" w:val="416"/>
        </w:trPr>
        <w:tc>
          <w:tcPr>
            <w:tcW w:type="dxa" w:w="3276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上网课程数（门）</w:t>
            </w:r>
          </w:p>
        </w:tc>
        <w:tc>
          <w:tcPr>
            <w:tcW w:type="dxa" w:w="5244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数字资源量(GB)</w:t>
            </w:r>
          </w:p>
        </w:tc>
      </w:tr>
      <w:tr>
        <w:trPr>
          <w:trHeight w:hRule="atleast" w:val="367"/>
        </w:trPr>
        <w:tc>
          <w:tcPr>
            <w:tcW w:type="dxa" w:w="3276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 xml:space="preserve">45 </w:t>
            </w:r>
          </w:p>
        </w:tc>
        <w:tc>
          <w:tcPr>
            <w:tcW w:type="dxa" w:w="5244"/>
            <w:vAlign w:val="center"/>
            <w:shd w:val="clear" w:color="000000" w:fill="FFFFFF" w:themeFill="background1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 xml:space="preserve">5,259 </w:t>
            </w:r>
          </w:p>
        </w:tc>
      </w:tr>
    </w:tbl>
    <w:p>
      <w:pPr>
        <w:pStyle w:val="PO9"/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  <w:bookmarkStart w:id="10" w:name="_Toc530555716"/>
      <w:r>
        <w:rPr>
          <w:sz w:val="28"/>
          <w:szCs w:val="28"/>
          <w:rFonts w:ascii="宋体" w:eastAsia="宋体" w:hAnsi="宋体" w:cs="宋体" w:hint="eastAsia"/>
        </w:rPr>
        <w:t>四、校内外实训基地建设</w:t>
      </w:r>
      <w:bookmarkEnd w:id="10"/>
    </w:p>
    <w:p>
      <w:pPr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学院积极拓展校外实习实训基地，建立了多个信誉好、层次高、专</w:t>
      </w:r>
      <w:r>
        <w:rPr>
          <w:sz w:val="28"/>
          <w:szCs w:val="28"/>
          <w:rFonts w:ascii="宋体" w:eastAsia="宋体" w:hAnsi="宋体" w:cs="宋体" w:hint="eastAsia"/>
        </w:rPr>
        <w:t>业契合度强的校外实习实训基地，</w:t>
      </w:r>
      <w:r>
        <w:rPr>
          <w:sz w:val="28"/>
          <w:szCs w:val="28"/>
          <w:rFonts w:ascii="宋体" w:eastAsia="宋体" w:hAnsi="宋体" w:cs="宋体"/>
        </w:rPr>
        <w:t>如旅行社管理系建设了承德市旅苑</w:t>
      </w:r>
      <w:r>
        <w:rPr>
          <w:sz w:val="28"/>
          <w:szCs w:val="28"/>
          <w:rFonts w:ascii="宋体" w:eastAsia="宋体" w:hAnsi="宋体" w:cs="宋体"/>
        </w:rPr>
        <w:t>旅行社，让学生开展真实经营活动；教务处旅游实训中心建设了“茶</w:t>
      </w:r>
      <w:r>
        <w:rPr>
          <w:sz w:val="28"/>
          <w:szCs w:val="28"/>
          <w:rFonts w:ascii="宋体" w:eastAsia="宋体" w:hAnsi="宋体" w:cs="宋体"/>
        </w:rPr>
        <w:t>艺轩”和“151酒吧”，让学生经营管理，培养学生职业能力和创</w:t>
      </w:r>
      <w:r>
        <w:rPr>
          <w:sz w:val="28"/>
          <w:szCs w:val="28"/>
          <w:rFonts w:ascii="宋体" w:eastAsia="宋体" w:hAnsi="宋体" w:cs="宋体"/>
        </w:rPr>
        <w:t>业意识；旅游外语系引企入校建设了“再清椿美容美体中心”，同时</w:t>
      </w:r>
      <w:r>
        <w:rPr>
          <w:sz w:val="28"/>
          <w:szCs w:val="28"/>
          <w:rFonts w:ascii="宋体" w:eastAsia="宋体" w:hAnsi="宋体" w:cs="宋体"/>
        </w:rPr>
        <w:t>承担学院留学生公寓的服务与管理任务；机电系引企入校建立了“校</w:t>
      </w:r>
      <w:r>
        <w:rPr>
          <w:sz w:val="28"/>
          <w:szCs w:val="28"/>
          <w:rFonts w:ascii="宋体" w:eastAsia="宋体" w:hAnsi="宋体" w:cs="宋体"/>
        </w:rPr>
        <w:t>中厂”，基本实现了“校厂一体，产教并举，工学结合”；牧医系建</w:t>
      </w:r>
      <w:r>
        <w:rPr>
          <w:sz w:val="28"/>
          <w:szCs w:val="28"/>
          <w:rFonts w:ascii="宋体" w:eastAsia="宋体" w:hAnsi="宋体" w:cs="宋体"/>
        </w:rPr>
        <w:t>立了实习牧场和教学兽医院，开展真实工作的业务实训；会计系引进</w:t>
      </w:r>
      <w:r>
        <w:rPr>
          <w:sz w:val="28"/>
          <w:szCs w:val="28"/>
          <w:rFonts w:ascii="宋体" w:eastAsia="宋体" w:hAnsi="宋体" w:cs="宋体"/>
        </w:rPr>
        <w:t>了“敬贤鹏工作室”，让学生开展会计记账真实工作；商管系引入了</w:t>
      </w:r>
      <w:r>
        <w:rPr>
          <w:sz w:val="28"/>
          <w:szCs w:val="28"/>
          <w:rFonts w:ascii="宋体" w:eastAsia="宋体" w:hAnsi="宋体" w:cs="宋体"/>
        </w:rPr>
        <w:t>“京东商城”，学生在校期间即开展真实业务实训；设计开发系建设</w:t>
      </w:r>
      <w:r>
        <w:rPr>
          <w:sz w:val="28"/>
          <w:szCs w:val="28"/>
          <w:rFonts w:ascii="宋体" w:eastAsia="宋体" w:hAnsi="宋体" w:cs="宋体"/>
        </w:rPr>
        <w:t>了“爱琳图文工作室”和“易墅空间建筑设计工作室”，让学生在承</w:t>
      </w:r>
      <w:r>
        <w:rPr>
          <w:sz w:val="28"/>
          <w:szCs w:val="28"/>
          <w:rFonts w:ascii="宋体" w:eastAsia="宋体" w:hAnsi="宋体" w:cs="宋体"/>
        </w:rPr>
        <w:t>接真实工作任务中提升自己。</w:t>
      </w:r>
      <w:r>
        <w:rPr>
          <w:sz w:val="28"/>
          <w:szCs w:val="28"/>
          <w:rFonts w:ascii="宋体" w:eastAsia="宋体" w:hAnsi="宋体" w:cs="宋体" w:hint="eastAsia"/>
        </w:rPr>
        <w:t>其中</w:t>
      </w:r>
      <w:r>
        <w:rPr>
          <w:sz w:val="28"/>
          <w:szCs w:val="28"/>
          <w:rFonts w:ascii="宋体" w:eastAsia="宋体" w:hAnsi="宋体" w:cs="宋体"/>
        </w:rPr>
        <w:t>旅游管理专业群拟新建烹饪工艺与</w:t>
      </w:r>
      <w:r>
        <w:rPr>
          <w:sz w:val="28"/>
          <w:szCs w:val="28"/>
          <w:rFonts w:ascii="宋体" w:eastAsia="宋体" w:hAnsi="宋体" w:cs="宋体"/>
        </w:rPr>
        <w:t>营养专业实训室，作为教学及菜品、西点研发的基地项目，预计总投</w:t>
      </w:r>
      <w:r>
        <w:rPr>
          <w:sz w:val="28"/>
          <w:szCs w:val="28"/>
          <w:rFonts w:ascii="宋体" w:eastAsia="宋体" w:hAnsi="宋体" w:cs="宋体"/>
        </w:rPr>
        <w:t>资87万元，2019年完成投资47万元。现已购置翻锅灶、台案、移动式</w:t>
      </w:r>
      <w:r>
        <w:rPr>
          <w:sz w:val="28"/>
          <w:szCs w:val="28"/>
          <w:rFonts w:ascii="宋体" w:eastAsia="宋体" w:hAnsi="宋体" w:cs="宋体"/>
        </w:rPr>
        <w:t>教学一体机等教学设备，基本能够满足《烹饪工艺学》及《食品雕刻》</w:t>
      </w:r>
      <w:r>
        <w:rPr>
          <w:sz w:val="28"/>
          <w:szCs w:val="28"/>
          <w:rFonts w:ascii="宋体" w:eastAsia="宋体" w:hAnsi="宋体" w:cs="宋体"/>
        </w:rPr>
        <w:t>课程的教学运行；畜牧兽医专业群动物疾病诊断实训室投资30万元，</w:t>
      </w:r>
      <w:r>
        <w:rPr>
          <w:sz w:val="28"/>
          <w:szCs w:val="28"/>
          <w:rFonts w:ascii="宋体" w:eastAsia="宋体" w:hAnsi="宋体" w:cs="宋体"/>
        </w:rPr>
        <w:t>新购进电子显微镜36台，接受合作企业捐赠，宠爱有家宠物医院提</w:t>
      </w:r>
      <w:r>
        <w:rPr>
          <w:sz w:val="28"/>
          <w:szCs w:val="28"/>
          <w:rFonts w:ascii="宋体" w:eastAsia="宋体" w:hAnsi="宋体" w:cs="宋体"/>
        </w:rPr>
        <w:t>供7.849万的仪器设备，大北农集团提供0.6万的猪抗体检测试剂，</w:t>
      </w:r>
      <w:r>
        <w:rPr>
          <w:sz w:val="28"/>
          <w:szCs w:val="28"/>
          <w:rFonts w:ascii="宋体" w:eastAsia="宋体" w:hAnsi="宋体" w:cs="宋体"/>
        </w:rPr>
        <w:t>完成升级改造任务。校外实践教学基地数据没有变化。</w:t>
      </w:r>
    </w:p>
    <w:p>
      <w:pPr>
        <w:spacing w:lineRule="exact" w:line="480" w:before="120" w:after="120"/>
        <w:ind w:left="357" w:firstLine="2240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 xml:space="preserve">表7 校内外实训基地表</w:t>
      </w:r>
    </w:p>
    <w:tbl>
      <w:tblID w:val="0"/>
      <w:tblP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505" w:type="dxa"/>
        <w:tblInd w:w="10" w:type="dxa"/>
        <w:tblLook w:val="000000" w:firstRow="0" w:lastRow="0" w:firstColumn="0" w:lastColumn="0" w:noHBand="0" w:noVBand="0"/>
        <w:tblLayout w:type="fixed"/>
      </w:tblPr>
      <w:tblGrid>
        <w:gridCol w:w="5812"/>
        <w:gridCol w:w="2693"/>
      </w:tblGrid>
      <w:tr>
        <w:trPr>
          <w:trHeight w:hRule="exact" w:val="599"/>
        </w:trPr>
        <w:tc>
          <w:tcPr>
            <w:tcW w:type="dxa" w:w="5812"/>
            <w:vAlign w:val="center"/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sz w:val="28"/>
                <w:szCs w:val="28"/>
                <w:rFonts w:ascii="仿宋" w:eastAsia="仿宋" w:hAnsi="仿宋" w:cs="仿宋"/>
              </w:rPr>
            </w:pPr>
            <w:r>
              <w:rPr>
                <w:b w:val="1"/>
                <w:sz w:val="28"/>
                <w:szCs w:val="28"/>
                <w:rFonts w:ascii="仿宋" w:eastAsia="仿宋" w:hAnsi="仿宋" w:cs="仿宋" w:hint="eastAsia"/>
              </w:rPr>
              <w:t>项目</w:t>
            </w:r>
          </w:p>
        </w:tc>
        <w:tc>
          <w:tcPr>
            <w:tcW w:type="dxa" w:w="2693"/>
            <w:vAlign w:val="center"/>
            <w:shd w:val="clear" w:color="000000"/>
          </w:tcPr>
          <w:p>
            <w:pPr>
              <w:jc w:val="center"/>
              <w:spacing w:lineRule="exact" w:line="274"/>
              <w:ind w:right="360" w:firstLine="0"/>
              <w:rPr>
                <w:b w:val="1"/>
                <w:sz w:val="28"/>
                <w:szCs w:val="28"/>
                <w:rFonts w:ascii="仿宋" w:eastAsia="仿宋" w:hAnsi="仿宋" w:cs="仿宋"/>
              </w:rPr>
            </w:pPr>
            <w:r>
              <w:rPr>
                <w:b w:val="1"/>
                <w:sz w:val="28"/>
                <w:szCs w:val="28"/>
                <w:rFonts w:ascii="仿宋" w:eastAsia="仿宋" w:hAnsi="仿宋" w:cs="仿宋" w:hint="eastAsia"/>
              </w:rPr>
              <w:t>数量</w:t>
            </w:r>
          </w:p>
        </w:tc>
      </w:tr>
      <w:tr>
        <w:trPr>
          <w:trHeight w:hRule="exact" w:val="599"/>
        </w:trPr>
        <w:tc>
          <w:tcPr>
            <w:tcW w:type="dxa" w:w="5812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校内实践基地数</w:t>
            </w:r>
          </w:p>
        </w:tc>
        <w:tc>
          <w:tcPr>
            <w:tcW w:type="dxa" w:w="2693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167</w:t>
            </w:r>
          </w:p>
        </w:tc>
      </w:tr>
      <w:tr>
        <w:trPr>
          <w:trHeight w:hRule="exact" w:val="599"/>
        </w:trPr>
        <w:tc>
          <w:tcPr>
            <w:tcW w:type="dxa" w:w="5812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校外实习实训基地数</w:t>
            </w:r>
          </w:p>
        </w:tc>
        <w:tc>
          <w:tcPr>
            <w:tcW w:type="dxa" w:w="2693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205</w:t>
            </w:r>
          </w:p>
        </w:tc>
      </w:tr>
      <w:tr>
        <w:trPr>
          <w:trHeight w:hRule="exact" w:val="599"/>
        </w:trPr>
        <w:tc>
          <w:tcPr>
            <w:tcW w:type="dxa" w:w="5812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校内实践教学工位数</w:t>
            </w:r>
          </w:p>
        </w:tc>
        <w:tc>
          <w:tcPr>
            <w:tcW w:type="dxa" w:w="2693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5025</w:t>
            </w:r>
          </w:p>
        </w:tc>
      </w:tr>
      <w:tr>
        <w:trPr>
          <w:trHeight w:hRule="exact" w:val="599"/>
        </w:trPr>
        <w:tc>
          <w:tcPr>
            <w:tcW w:type="dxa" w:w="5812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校外实习实训基地学时总量（人时）</w:t>
            </w:r>
          </w:p>
        </w:tc>
        <w:tc>
          <w:tcPr>
            <w:tcW w:type="dxa" w:w="2693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2230600</w:t>
            </w:r>
          </w:p>
        </w:tc>
      </w:tr>
    </w:tbl>
    <w:p>
      <w:pPr>
        <w:pStyle w:val="PO7"/>
        <w:spacing w:lineRule="exact" w:line="480"/>
        <w:ind w:firstLine="566"/>
        <w:rPr>
          <w:sz w:val="28"/>
          <w:szCs w:val="28"/>
          <w:rFonts w:ascii="宋体" w:eastAsia="宋体" w:hAnsi="宋体" w:cs="宋体"/>
        </w:rPr>
      </w:pPr>
      <w:bookmarkStart w:id="11" w:name="_Toc530555717"/>
      <w:r>
        <w:rPr>
          <w:sz w:val="28"/>
          <w:szCs w:val="28"/>
          <w:rFonts w:ascii="宋体" w:eastAsia="宋体" w:hAnsi="宋体" w:cs="宋体" w:hint="eastAsia"/>
        </w:rPr>
        <w:t xml:space="preserve">第四部分 人才培养</w:t>
      </w:r>
      <w:bookmarkEnd w:id="11"/>
    </w:p>
    <w:p>
      <w:pPr>
        <w:pStyle w:val="PO9"/>
        <w:spacing w:lineRule="exact" w:line="480"/>
        <w:ind w:firstLine="566"/>
        <w:rPr>
          <w:sz w:val="28"/>
          <w:szCs w:val="28"/>
          <w:rFonts w:ascii="宋体" w:eastAsia="宋体" w:hAnsi="宋体" w:cs="宋体"/>
        </w:rPr>
      </w:pPr>
      <w:bookmarkStart w:id="12" w:name="_Toc530555718"/>
      <w:r>
        <w:rPr>
          <w:sz w:val="28"/>
          <w:szCs w:val="28"/>
          <w:rFonts w:ascii="宋体" w:eastAsia="宋体" w:hAnsi="宋体" w:cs="宋体" w:hint="eastAsia"/>
        </w:rPr>
        <w:t>一、专业设置</w:t>
      </w:r>
      <w:bookmarkEnd w:id="12"/>
    </w:p>
    <w:p>
      <w:pPr>
        <w:jc w:val="both"/>
        <w:spacing w:lineRule="exact" w:line="480"/>
        <w:ind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一直以来，学院坚持以“质量立校，特色强校，开放活校”为发</w:t>
      </w:r>
      <w:r>
        <w:rPr>
          <w:sz w:val="28"/>
          <w:szCs w:val="28"/>
          <w:rFonts w:ascii="宋体" w:eastAsia="宋体" w:hAnsi="宋体" w:cs="宋体"/>
        </w:rPr>
        <w:t>展战略，积极根据《普通高等学校高等职业学校（专科）专业目录》和</w:t>
      </w:r>
      <w:r>
        <w:rPr>
          <w:sz w:val="28"/>
          <w:szCs w:val="28"/>
          <w:rFonts w:ascii="宋体" w:eastAsia="宋体" w:hAnsi="宋体" w:cs="宋体"/>
        </w:rPr>
        <w:t>《国民经济行业分类》国家标准（GB/4754-2002）和“文化及相关产</w:t>
      </w:r>
      <w:r>
        <w:rPr>
          <w:sz w:val="28"/>
          <w:szCs w:val="28"/>
          <w:rFonts w:ascii="宋体" w:eastAsia="宋体" w:hAnsi="宋体" w:cs="宋体"/>
        </w:rPr>
        <w:t>业分类标准”对学院开设专业进行梳理，分析各专业招生数、专业布</w:t>
      </w:r>
      <w:r>
        <w:rPr>
          <w:sz w:val="28"/>
          <w:szCs w:val="28"/>
          <w:rFonts w:ascii="宋体" w:eastAsia="宋体" w:hAnsi="宋体" w:cs="宋体"/>
        </w:rPr>
        <w:t>局，积极对应河北省重点发展产业调整专业结构，分层次、分类别地</w:t>
      </w:r>
      <w:r>
        <w:rPr>
          <w:sz w:val="28"/>
          <w:szCs w:val="28"/>
          <w:rFonts w:ascii="宋体" w:eastAsia="宋体" w:hAnsi="宋体" w:cs="宋体"/>
        </w:rPr>
        <w:t>开展专业建设，将学院旅游类、现代物流、现代农业、现代信息技术</w:t>
      </w:r>
      <w:r>
        <w:rPr>
          <w:sz w:val="28"/>
          <w:szCs w:val="28"/>
          <w:rFonts w:ascii="宋体" w:eastAsia="宋体" w:hAnsi="宋体" w:cs="宋体"/>
        </w:rPr>
        <w:t>类专业作为学院重点发展方向，并据此进行了专业调整，制定了2019</w:t>
      </w:r>
      <w:r>
        <w:rPr>
          <w:sz w:val="28"/>
          <w:szCs w:val="28"/>
          <w:rFonts w:ascii="宋体" w:eastAsia="宋体" w:hAnsi="宋体" w:cs="宋体"/>
        </w:rPr>
        <w:t>——2022年专业调整计划，并于2019年停招了环境艺术设计、建</w:t>
      </w:r>
      <w:r>
        <w:rPr>
          <w:sz w:val="28"/>
          <w:szCs w:val="28"/>
          <w:rFonts w:ascii="宋体" w:eastAsia="宋体" w:hAnsi="宋体" w:cs="宋体"/>
        </w:rPr>
        <w:t>筑工程技术、视觉传播设计与制作、机械制造与自动化、旅游英语、应</w:t>
      </w:r>
      <w:r>
        <w:rPr>
          <w:sz w:val="28"/>
          <w:szCs w:val="28"/>
          <w:rFonts w:ascii="宋体" w:eastAsia="宋体" w:hAnsi="宋体" w:cs="宋体"/>
        </w:rPr>
        <w:t>用韩语、商务日语、大数据技术应用、应用电子技术、宠物临床诊疗</w:t>
      </w:r>
      <w:r>
        <w:rPr>
          <w:sz w:val="28"/>
          <w:szCs w:val="28"/>
          <w:rFonts w:ascii="宋体" w:eastAsia="宋体" w:hAnsi="宋体" w:cs="宋体"/>
        </w:rPr>
        <w:t>技术等10个专业，新增了高速铁路客运乘务、烹调工艺与营养等2个</w:t>
      </w:r>
      <w:r>
        <w:rPr>
          <w:sz w:val="28"/>
          <w:szCs w:val="28"/>
          <w:rFonts w:ascii="宋体" w:eastAsia="宋体" w:hAnsi="宋体" w:cs="宋体"/>
        </w:rPr>
        <w:t>专业。</w:t>
      </w:r>
    </w:p>
    <w:p>
      <w:pPr>
        <w:jc w:val="both"/>
        <w:spacing w:lineRule="exact" w:line="480"/>
        <w:ind w:firstLine="566"/>
        <w:rPr>
          <w:color w:val="FF0000"/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结合教育部创新发展行动计划（2019—2021）和“双高计划”，2</w:t>
      </w:r>
      <w:r>
        <w:rPr>
          <w:sz w:val="28"/>
          <w:szCs w:val="28"/>
          <w:rFonts w:ascii="宋体" w:eastAsia="宋体" w:hAnsi="宋体" w:cs="宋体"/>
        </w:rPr>
        <w:t>019年首先跨系部建立了“旅游管理专业群”和“畜牧兽医专业</w:t>
      </w:r>
      <w:r>
        <w:rPr>
          <w:sz w:val="28"/>
          <w:szCs w:val="28"/>
          <w:rFonts w:ascii="宋体" w:eastAsia="宋体" w:hAnsi="宋体" w:cs="宋体"/>
        </w:rPr>
        <w:t>群”。“旅游管理专业群”包括旅游管理、导游（含中文、英语、韩</w:t>
      </w:r>
      <w:r>
        <w:rPr>
          <w:sz w:val="28"/>
          <w:szCs w:val="28"/>
          <w:rFonts w:ascii="宋体" w:eastAsia="宋体" w:hAnsi="宋体" w:cs="宋体"/>
        </w:rPr>
        <w:t>语、日语方向）、旅行社经营管理、酒店管理、营养配餐等5个专业，</w:t>
      </w:r>
      <w:r>
        <w:rPr>
          <w:sz w:val="28"/>
          <w:szCs w:val="28"/>
          <w:rFonts w:ascii="宋体" w:eastAsia="宋体" w:hAnsi="宋体" w:cs="宋体"/>
        </w:rPr>
        <w:t>承担教育部创新发展行动计划（2019—2021）和“双高计划”省级骨</w:t>
      </w:r>
      <w:r>
        <w:rPr>
          <w:sz w:val="28"/>
          <w:szCs w:val="28"/>
          <w:rFonts w:ascii="宋体" w:eastAsia="宋体" w:hAnsi="宋体" w:cs="宋体"/>
        </w:rPr>
        <w:t>干专业群，以及教育部创新发展行动计划（2019—2021）旅游管理省</w:t>
      </w:r>
      <w:r>
        <w:rPr>
          <w:sz w:val="28"/>
          <w:szCs w:val="28"/>
          <w:rFonts w:ascii="宋体" w:eastAsia="宋体" w:hAnsi="宋体" w:cs="宋体"/>
        </w:rPr>
        <w:t>级教学资源库、旅游省级高水平实训基地建设任务。“畜牧兽医专业</w:t>
      </w:r>
      <w:r>
        <w:rPr>
          <w:sz w:val="28"/>
          <w:szCs w:val="28"/>
          <w:rFonts w:ascii="宋体" w:eastAsia="宋体" w:hAnsi="宋体" w:cs="宋体"/>
        </w:rPr>
        <w:t>群”包括动物医学、动物医学（宠物疾病防治方向）、畜牧兽医、宠</w:t>
      </w:r>
      <w:r>
        <w:rPr>
          <w:sz w:val="28"/>
          <w:szCs w:val="28"/>
          <w:rFonts w:ascii="宋体" w:eastAsia="宋体" w:hAnsi="宋体" w:cs="宋体"/>
        </w:rPr>
        <w:t>物养护与驯导等3个专业，承担教育部创新发展行动计划（2019—20</w:t>
      </w:r>
      <w:r>
        <w:rPr>
          <w:sz w:val="28"/>
          <w:szCs w:val="28"/>
          <w:rFonts w:ascii="宋体" w:eastAsia="宋体" w:hAnsi="宋体" w:cs="宋体"/>
        </w:rPr>
        <w:t>21）畜牧兽医省级教学资源库建设任务，为河北省重点产业提供了人</w:t>
      </w:r>
      <w:r>
        <w:rPr>
          <w:sz w:val="28"/>
          <w:szCs w:val="28"/>
          <w:rFonts w:ascii="宋体" w:eastAsia="宋体" w:hAnsi="宋体" w:cs="宋体"/>
        </w:rPr>
        <w:t>才支撑。</w:t>
      </w:r>
    </w:p>
    <w:p>
      <w:pPr>
        <w:jc w:val="center"/>
        <w:spacing w:lineRule="exact" w:line="480" w:before="120" w:after="120"/>
        <w:ind w:left="357" w:firstLine="0"/>
        <w:rPr>
          <w:b w:val="1"/>
          <w:sz w:val="24"/>
          <w:szCs w:val="24"/>
          <w:rFonts w:hAnsi="宋体" w:cs="宋体"/>
        </w:rPr>
      </w:pPr>
      <w:r>
        <w:rPr>
          <w:b w:val="1"/>
          <w:rFonts w:ascii="仿宋" w:eastAsia="仿宋" w:hAnsi="仿宋" w:hint="eastAsia"/>
        </w:rPr>
        <w:t xml:space="preserve">表8  2017-2019年学院在校生数</w:t>
      </w:r>
    </w:p>
    <w:tbl>
      <w:tblID w:val="0"/>
      <w:tblP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506" w:type="dxa"/>
        <w:jc w:val="center"/>
        <w:tblLook w:val="000000" w:firstRow="0" w:lastRow="0" w:firstColumn="0" w:lastColumn="0" w:noHBand="0" w:noVBand="0"/>
        <w:tblLayout w:type="fixed"/>
      </w:tblPr>
      <w:tblGrid>
        <w:gridCol w:w="4235"/>
        <w:gridCol w:w="1423"/>
        <w:gridCol w:w="1424"/>
        <w:gridCol w:w="1424"/>
      </w:tblGrid>
      <w:tr>
        <w:trPr>
          <w:trHeight w:hRule="atleast" w:val="680"/>
        </w:trPr>
        <w:tc>
          <w:tcPr>
            <w:tcW w:type="dxa" w:w="4235"/>
            <w:vAlign w:val="center"/>
            <w:vMerge w:val="restart"/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全日制在校生数（人）</w:t>
            </w:r>
          </w:p>
        </w:tc>
        <w:tc>
          <w:tcPr>
            <w:tcW w:type="dxa" w:w="1423"/>
            <w:vAlign w:val="center"/>
            <w:shd w:val="clear" w:color="000000"/>
          </w:tcPr>
          <w:p>
            <w:pPr>
              <w:jc w:val="center"/>
              <w:spacing w:lineRule="exact" w:line="274"/>
              <w:ind w:right="360" w:firstLine="280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  <w:t>2017</w:t>
            </w: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年</w:t>
            </w:r>
          </w:p>
        </w:tc>
        <w:tc>
          <w:tcPr>
            <w:tcW w:type="dxa" w:w="1424"/>
            <w:vAlign w:val="center"/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color w:val="000000" w:themeColor="text1"/>
                <w:sz w:val="24"/>
                <w:szCs w:val="24"/>
                <w:w w:val="99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="仿宋" w:eastAsia="仿宋" w:hAnsi="仿宋" w:cs="仿宋"/>
              </w:rPr>
              <w:t>2018</w:t>
            </w:r>
            <w:r>
              <w:rPr>
                <w:b w:val="1"/>
                <w:color w:val="000000" w:themeColor="text1"/>
                <w:sz w:val="24"/>
                <w:szCs w:val="24"/>
                <w:w w:val="99"/>
                <w:rFonts w:ascii="仿宋" w:eastAsia="仿宋" w:hAnsi="仿宋" w:cs="仿宋" w:hint="eastAsia"/>
              </w:rPr>
              <w:t>年</w:t>
            </w:r>
          </w:p>
        </w:tc>
        <w:tc>
          <w:tcPr>
            <w:tcW w:type="dxa" w:w="1424"/>
            <w:vAlign w:val="center"/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color w:val="000000" w:themeColor="text1"/>
                <w:sz w:val="24"/>
                <w:szCs w:val="24"/>
                <w:w w:val="99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="仿宋" w:eastAsia="仿宋" w:hAnsi="仿宋" w:cs="仿宋"/>
              </w:rPr>
              <w:t>2019</w:t>
            </w:r>
            <w:r>
              <w:rPr>
                <w:b w:val="1"/>
                <w:color w:val="000000" w:themeColor="text1"/>
                <w:sz w:val="24"/>
                <w:szCs w:val="24"/>
                <w:w w:val="99"/>
                <w:rFonts w:ascii="仿宋" w:eastAsia="仿宋" w:hAnsi="仿宋" w:cs="仿宋" w:hint="eastAsia"/>
              </w:rPr>
              <w:t>年</w:t>
            </w:r>
          </w:p>
        </w:tc>
      </w:tr>
      <w:tr>
        <w:trPr>
          <w:trHeight w:hRule="atleast" w:val="680"/>
        </w:trPr>
        <w:tc>
          <w:tcPr>
            <w:tcW w:type="dxa" w:w="4235"/>
            <w:vAlign w:val="center"/>
            <w:vMerge/>
            <w:shd w:val="clear" w:color="000000"/>
          </w:tcPr>
          <w:p/>
        </w:tc>
        <w:tc>
          <w:tcPr>
            <w:tcW w:type="dxa" w:w="1423"/>
            <w:vAlign w:val="center"/>
            <w:shd w:val="clear" w:color="000000"/>
          </w:tcPr>
          <w:p>
            <w:pPr>
              <w:jc w:val="center"/>
              <w:spacing w:lineRule="exact" w:line="266"/>
              <w:ind w:right="360" w:firstLine="0"/>
              <w:rPr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6984</w:t>
            </w:r>
          </w:p>
        </w:tc>
        <w:tc>
          <w:tcPr>
            <w:tcW w:type="dxa" w:w="1424"/>
            <w:vAlign w:val="center"/>
            <w:shd w:val="clear" w:color="000000"/>
          </w:tcPr>
          <w:p>
            <w:pPr>
              <w:jc w:val="center"/>
              <w:spacing w:lineRule="exact" w:line="266"/>
              <w:ind w:right="360" w:firstLine="0"/>
              <w:rPr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6866</w:t>
            </w:r>
          </w:p>
        </w:tc>
        <w:tc>
          <w:tcPr>
            <w:tcW w:type="dxa" w:w="1424"/>
            <w:vAlign w:val="center"/>
            <w:shd w:val="clear" w:color="000000"/>
          </w:tcPr>
          <w:p>
            <w:pPr>
              <w:jc w:val="center"/>
              <w:spacing w:lineRule="exact" w:line="266"/>
              <w:ind w:right="360" w:firstLine="0"/>
              <w:rPr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7757</w:t>
            </w:r>
          </w:p>
        </w:tc>
      </w:tr>
    </w:tbl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</w:p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</w:p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</w:p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35" type="#_x0000_t75" style="position:absolute;left:0;margin-left:6pt;mso-position-horizontal:absolute;mso-position-horizontal-relative:text;margin-top:-7pt;mso-position-vertical:absolute;mso-position-vertical-relative:text;width:412.5pt;height:141.0pt;z-index:-251624967" filled="t">
            <v:imagedata r:id="rId15" o:title=" "/>
          </v:shape>
        </w:pict>
      </w:r>
    </w:p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</w:p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</w:p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</w:p>
    <w:p>
      <w:pPr>
        <w:spacing w:lineRule="exact" w:line="480" w:before="40" w:after="120"/>
        <w:ind w:left="357" w:firstLine="2249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 w:before="40" w:after="120"/>
        <w:ind w:left="357" w:firstLine="1929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>表9河北旅游职业学院各专业学生分布</w:t>
      </w: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520" w:type="dxa"/>
        <w:tblInd w:w="91" w:type="dxa"/>
        <w:tblLook w:val="0004A0" w:firstRow="1" w:lastRow="0" w:firstColumn="1" w:lastColumn="0" w:noHBand="0" w:noVBand="1"/>
        <w:tblLayout w:type="fixed"/>
      </w:tblPr>
      <w:tblGrid>
        <w:gridCol w:w="952"/>
        <w:gridCol w:w="2861"/>
        <w:gridCol w:w="1740"/>
        <w:gridCol w:w="2967"/>
      </w:tblGrid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color w:val="000000" w:themeColor="text1"/>
                <w:sz w:val="24"/>
                <w:szCs w:val="24"/>
                <w:rFonts w:ascii="仿宋" w:eastAsia="仿宋" w:hAnsi="仿宋" w:cs="仿宋"/>
              </w:rPr>
              <w:t>序号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专业名称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代码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在校生数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旅游管理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692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空中乘务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600405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203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民航运输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600401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24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导游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681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民航安全技术管理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600406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42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旅行社经营管理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640103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152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酒店管理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640105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382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烹调工艺与营养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640202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26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营养配餐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640203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102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国际游轮乘务管理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600302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194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11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旅游英语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670204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75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旅游日语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670207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49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13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应用韩语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670208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79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14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人物形象设计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650122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87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商务日语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670205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30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会计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630302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799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财务管理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630301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86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18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金融管理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630201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109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19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市场营销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630701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208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物流管理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630903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151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21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电子商务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630801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555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网络营销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630803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25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23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中草药栽培技术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510110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98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24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绿色食品与检验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510114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124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25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园林技术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510202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152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26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畜牧兽医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156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27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动物医学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177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28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动物防疫与检测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510304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29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宠物养护与训导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510306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109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30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园林工程技术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540106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126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31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环境艺术设计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650111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122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32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工程造价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540502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157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33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计算机网络技术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307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34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数字媒体艺术设计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650104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328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35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计算机应用技术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379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36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数字媒体应用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610210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98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37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大数据技术与应用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610215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143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38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室内艺术设计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650109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451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39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数字媒体艺术设计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650104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223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40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视觉传播设计与制作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66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41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建筑工程技术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540301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110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42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机械制造与自动化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560102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109</w:t>
            </w:r>
          </w:p>
        </w:tc>
      </w:tr>
      <w:tr>
        <w:trPr/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43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应用电子技术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610102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73</w:t>
            </w:r>
          </w:p>
        </w:tc>
      </w:tr>
      <w:tr>
        <w:trPr>
          <w:trHeight w:hRule="atleast" w:val="37"/>
        </w:trPr>
        <w:tc>
          <w:tcPr>
            <w:tcW w:type="dxa" w:w="952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44</w:t>
            </w:r>
          </w:p>
        </w:tc>
        <w:tc>
          <w:tcPr>
            <w:tcW w:type="dxa" w:w="286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机电一体化技术</w:t>
            </w:r>
          </w:p>
        </w:tc>
        <w:tc>
          <w:tcPr>
            <w:tcW w:type="dxa" w:w="1740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560301</w:t>
            </w:r>
          </w:p>
        </w:tc>
        <w:tc>
          <w:tcPr>
            <w:tcW w:type="dxa" w:w="296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103</w:t>
            </w:r>
          </w:p>
        </w:tc>
      </w:tr>
    </w:tbl>
    <w:p>
      <w:pPr>
        <w:pStyle w:val="PO9"/>
        <w:spacing w:lineRule="exact" w:line="480" w:before="260" w:after="260"/>
        <w:ind w:firstLine="566"/>
        <w:rPr>
          <w:sz w:val="28"/>
          <w:szCs w:val="28"/>
          <w:rFonts w:ascii="宋体" w:eastAsia="宋体" w:hAnsi="宋体" w:cs="宋体"/>
        </w:rPr>
        <w:outlineLvl w:val="2"/>
      </w:pPr>
      <w:bookmarkStart w:id="13" w:name="_Toc530555719"/>
      <w:r>
        <w:rPr>
          <w:sz w:val="28"/>
          <w:szCs w:val="28"/>
          <w:rFonts w:ascii="宋体" w:eastAsia="宋体" w:hAnsi="宋体" w:cs="宋体" w:hint="eastAsia"/>
        </w:rPr>
        <w:t>二、</w:t>
      </w:r>
      <w:r>
        <w:rPr>
          <w:sz w:val="28"/>
          <w:szCs w:val="28"/>
          <w:rFonts w:ascii="宋体" w:eastAsia="宋体" w:hAnsi="宋体" w:cs="宋体"/>
        </w:rPr>
        <w:t>专业与当地产业匹配度</w:t>
      </w:r>
      <w:bookmarkEnd w:id="13"/>
    </w:p>
    <w:p>
      <w:pPr>
        <w:spacing w:lineRule="exact" w:line="480" w:before="0"/>
        <w:ind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2018年2月，河北省印发《河北省战略性新兴产业发展三年行</w:t>
      </w:r>
      <w:r>
        <w:rPr>
          <w:sz w:val="28"/>
          <w:szCs w:val="28"/>
          <w:rFonts w:ascii="宋体" w:eastAsia="宋体" w:hAnsi="宋体" w:cs="宋体"/>
        </w:rPr>
        <w:t>动计划》，指出未来三年河北将围绕10个专项行动，包括大数据与物</w:t>
      </w:r>
      <w:r>
        <w:rPr>
          <w:sz w:val="28"/>
          <w:szCs w:val="28"/>
          <w:rFonts w:ascii="宋体" w:eastAsia="宋体" w:hAnsi="宋体" w:cs="宋体"/>
        </w:rPr>
        <w:t>联网、信息技术制造业、人工智能与智能装备、生物医药健康、高端</w:t>
      </w:r>
      <w:r>
        <w:rPr>
          <w:sz w:val="28"/>
          <w:szCs w:val="28"/>
          <w:rFonts w:ascii="宋体" w:eastAsia="宋体" w:hAnsi="宋体" w:cs="宋体"/>
        </w:rPr>
        <w:t>装备制造、新能源与智能电网、新能源汽车与智能网联汽车、新材料、</w:t>
      </w:r>
      <w:r>
        <w:rPr>
          <w:sz w:val="28"/>
          <w:szCs w:val="28"/>
          <w:rFonts w:ascii="宋体" w:eastAsia="宋体" w:hAnsi="宋体" w:cs="宋体"/>
        </w:rPr>
        <w:t>先进环保产业、未来产业等10大领域战略性新兴产业。承德则围绕</w:t>
      </w:r>
      <w:r>
        <w:rPr>
          <w:sz w:val="28"/>
          <w:szCs w:val="28"/>
          <w:rFonts w:ascii="宋体" w:eastAsia="宋体" w:hAnsi="宋体" w:cs="宋体"/>
        </w:rPr>
        <w:t>“生态强市、魅力承德建设”重点做大“六大主导产业”，即文化旅</w:t>
      </w:r>
      <w:r>
        <w:rPr>
          <w:sz w:val="28"/>
          <w:szCs w:val="28"/>
          <w:rFonts w:ascii="宋体" w:eastAsia="宋体" w:hAnsi="宋体" w:cs="宋体"/>
        </w:rPr>
        <w:t>游及医疗康养产业、大数据及电子信息产业、钒钛新材料产业、清洁</w:t>
      </w:r>
      <w:r>
        <w:rPr>
          <w:sz w:val="28"/>
          <w:szCs w:val="28"/>
          <w:rFonts w:ascii="宋体" w:eastAsia="宋体" w:hAnsi="宋体" w:cs="宋体"/>
        </w:rPr>
        <w:t>能源产业、智能装备制造产业、绿色食品及生物制药产业。学院一直</w:t>
      </w:r>
      <w:r>
        <w:rPr>
          <w:sz w:val="28"/>
          <w:szCs w:val="28"/>
          <w:rFonts w:ascii="宋体" w:eastAsia="宋体" w:hAnsi="宋体" w:cs="宋体"/>
        </w:rPr>
        <w:t>积极对接我省战略性新兴产业10大领域、12个重点产业、承德3+</w:t>
      </w:r>
      <w:r>
        <w:rPr>
          <w:sz w:val="28"/>
          <w:szCs w:val="28"/>
          <w:rFonts w:ascii="宋体" w:eastAsia="宋体" w:hAnsi="宋体" w:cs="宋体"/>
        </w:rPr>
        <w:t>3产业以及社会紧缺领域发展需求开展专业（群）建设。如学院旅游管</w:t>
      </w:r>
      <w:r>
        <w:rPr>
          <w:sz w:val="28"/>
          <w:szCs w:val="28"/>
          <w:rFonts w:ascii="宋体" w:eastAsia="宋体" w:hAnsi="宋体" w:cs="宋体"/>
        </w:rPr>
        <w:t>理专业群与承德市旅游协会签订共建协议，形成了紧密融合的校企合</w:t>
      </w:r>
      <w:r>
        <w:rPr>
          <w:sz w:val="28"/>
          <w:szCs w:val="28"/>
          <w:rFonts w:ascii="宋体" w:eastAsia="宋体" w:hAnsi="宋体" w:cs="宋体"/>
        </w:rPr>
        <w:t>作关系。协会下旅行社分会一百余家旅行社为学生实习提供机会，协</w:t>
      </w:r>
      <w:r>
        <w:rPr>
          <w:sz w:val="28"/>
          <w:szCs w:val="28"/>
          <w:rFonts w:ascii="宋体" w:eastAsia="宋体" w:hAnsi="宋体" w:cs="宋体"/>
        </w:rPr>
        <w:t>会副会长、旅行社分会会长担任专业建设委员会委员，与来自京津冀</w:t>
      </w:r>
      <w:r>
        <w:rPr>
          <w:sz w:val="28"/>
          <w:szCs w:val="28"/>
          <w:rFonts w:ascii="宋体" w:eastAsia="宋体" w:hAnsi="宋体" w:cs="宋体"/>
        </w:rPr>
        <w:t>区域的旅游企业代表共同把握专业发展方向，研讨完善人才培养方案；</w:t>
      </w:r>
      <w:r>
        <w:rPr>
          <w:sz w:val="28"/>
          <w:szCs w:val="28"/>
          <w:rFonts w:ascii="宋体" w:eastAsia="宋体" w:hAnsi="宋体" w:cs="宋体"/>
        </w:rPr>
        <w:t>学院生产性实训基地——旅苑旅行社引入协会一家大型企业确保经</w:t>
      </w:r>
      <w:r>
        <w:rPr>
          <w:sz w:val="28"/>
          <w:szCs w:val="28"/>
          <w:rFonts w:ascii="宋体" w:eastAsia="宋体" w:hAnsi="宋体" w:cs="宋体"/>
        </w:rPr>
        <w:t>营业务开展，为学生提供实习机会；旅行社管理系主任担任承德市协</w:t>
      </w:r>
      <w:r>
        <w:rPr>
          <w:sz w:val="28"/>
          <w:szCs w:val="28"/>
          <w:rFonts w:ascii="宋体" w:eastAsia="宋体" w:hAnsi="宋体" w:cs="宋体"/>
        </w:rPr>
        <w:t>会副会长、导游分会会长，导游分会中大批优秀导游为学生作景区走</w:t>
      </w:r>
      <w:r>
        <w:rPr>
          <w:sz w:val="28"/>
          <w:szCs w:val="28"/>
          <w:rFonts w:ascii="宋体" w:eastAsia="宋体" w:hAnsi="宋体" w:cs="宋体"/>
        </w:rPr>
        <w:t>线讲解教师，开展讲座，全程参与实践教学；校企共建核心课程等。</w:t>
      </w:r>
      <w:r>
        <w:rPr>
          <w:sz w:val="28"/>
          <w:szCs w:val="28"/>
          <w:rFonts w:ascii="宋体" w:eastAsia="宋体" w:hAnsi="宋体" w:cs="宋体"/>
        </w:rPr>
        <w:t>专业群同样对协会做出大力支持，一是开展旅游从业人员培训，二是</w:t>
      </w:r>
      <w:r>
        <w:rPr>
          <w:sz w:val="28"/>
          <w:szCs w:val="28"/>
          <w:rFonts w:ascii="宋体" w:eastAsia="宋体" w:hAnsi="宋体" w:cs="宋体"/>
        </w:rPr>
        <w:t>指导酒店开展星级建设和评定、旅行社开展A级建设和评定，三是指</w:t>
      </w:r>
      <w:r>
        <w:rPr>
          <w:sz w:val="28"/>
          <w:szCs w:val="28"/>
          <w:rFonts w:ascii="宋体" w:eastAsia="宋体" w:hAnsi="宋体" w:cs="宋体"/>
        </w:rPr>
        <w:t>导旅游企业进行标准化建设和评定等，与当地旅游产业形成命运共同</w:t>
      </w:r>
      <w:r>
        <w:rPr>
          <w:sz w:val="28"/>
          <w:szCs w:val="28"/>
          <w:rFonts w:ascii="宋体" w:eastAsia="宋体" w:hAnsi="宋体" w:cs="宋体"/>
        </w:rPr>
        <w:t>体。在学院开设的专业中，其中13个专业为当地支柱产业或紧缺行业，</w:t>
      </w:r>
      <w:r>
        <w:rPr>
          <w:sz w:val="28"/>
          <w:szCs w:val="28"/>
          <w:rFonts w:ascii="宋体" w:eastAsia="宋体" w:hAnsi="宋体" w:cs="宋体"/>
        </w:rPr>
        <w:t>三年来，学院空中乘务、民航运输、民航安全技术管理、旅行社经营</w:t>
      </w:r>
      <w:r>
        <w:rPr>
          <w:sz w:val="28"/>
          <w:szCs w:val="28"/>
          <w:rFonts w:ascii="宋体" w:eastAsia="宋体" w:hAnsi="宋体" w:cs="宋体"/>
        </w:rPr>
        <w:t>管理等13个专业共培养订单学生739人，为当地行业产业提供毕业</w:t>
      </w:r>
      <w:r>
        <w:rPr>
          <w:sz w:val="28"/>
          <w:szCs w:val="28"/>
          <w:rFonts w:ascii="宋体" w:eastAsia="宋体" w:hAnsi="宋体" w:cs="宋体"/>
        </w:rPr>
        <w:t>生1067人，具体如下：</w:t>
      </w:r>
    </w:p>
    <w:p>
      <w:pPr>
        <w:jc w:val="center"/>
        <w:spacing w:lineRule="exact" w:line="480" w:before="0"/>
        <w:ind w:firstLine="846"/>
        <w:rPr>
          <w:b w:val="1"/>
          <w:sz w:val="28"/>
          <w:szCs w:val="28"/>
          <w:rFonts w:ascii="宋体" w:eastAsia="宋体" w:hAnsi="宋体" w:cs="宋体"/>
        </w:rPr>
      </w:pPr>
      <w:r>
        <w:rPr>
          <w:b w:val="1"/>
          <w:sz w:val="28"/>
          <w:szCs w:val="28"/>
          <w:rFonts w:ascii="宋体" w:eastAsia="宋体" w:hAnsi="宋体" w:cs="宋体"/>
        </w:rPr>
        <w:t>表10河北旅游职业学院专业订单培养学生数</w:t>
      </w:r>
    </w:p>
    <w:tbl>
      <w:tblID w:val="0"/>
      <w:tblPr>
        <w:tblpPr w:vertAnchor="text" w:tblpX="15" w:tblpY="225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589" w:type="dxa"/>
        <w:tblLook w:val="0004A0" w:firstRow="1" w:lastRow="0" w:firstColumn="1" w:lastColumn="0" w:noHBand="0" w:noVBand="1"/>
        <w:tblLayout w:type="fixed"/>
      </w:tblPr>
      <w:tblGrid>
        <w:gridCol w:w="787"/>
        <w:gridCol w:w="3057"/>
        <w:gridCol w:w="1754"/>
        <w:gridCol w:w="2991"/>
      </w:tblGrid>
      <w:tr>
        <w:trPr>
          <w:trHeight w:hRule="atleast" w:val="356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  <w:t>序号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专业名称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代码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="仿宋" w:eastAsia="仿宋" w:hAnsi="仿宋" w:cs="仿宋" w:hint="eastAsia"/>
              </w:rPr>
              <w:t>订单培养学生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烹调工艺与营养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640202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26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国际邮轮乘务管理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600302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194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绿色食品生产与检验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510114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机电一体化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560301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103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商务日语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670205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30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旅行社经营管理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640103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26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畜牧兽医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510301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56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动物医学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510302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物流管理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630903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104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计算机网络技术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610202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11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空中乘务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600405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89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民航运输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600401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24</w:t>
            </w:r>
          </w:p>
        </w:tc>
      </w:tr>
      <w:tr>
        <w:trPr>
          <w:trHeight w:hRule="atleast" w:val="301"/>
        </w:trPr>
        <w:tc>
          <w:tcPr>
            <w:tcW w:type="dxa" w:w="78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13</w:t>
            </w:r>
          </w:p>
        </w:tc>
        <w:tc>
          <w:tcPr>
            <w:tcW w:type="dxa" w:w="3057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民航安全技术管理</w:t>
            </w:r>
          </w:p>
        </w:tc>
        <w:tc>
          <w:tcPr>
            <w:tcW w:type="dxa" w:w="1754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600406</w:t>
            </w:r>
          </w:p>
        </w:tc>
        <w:tc>
          <w:tcPr>
            <w:tcW w:type="dxa" w:w="2991"/>
            <w:tcMar>
              <w:left w:w="108" w:type="dxa"/>
              <w:right w:w="108" w:type="dxa"/>
            </w:tcMar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42</w:t>
            </w:r>
          </w:p>
        </w:tc>
      </w:tr>
    </w:tbl>
    <w:p>
      <w:pPr>
        <w:jc w:val="both"/>
        <w:spacing w:lineRule="exact" w:line="480" w:before="0"/>
        <w:ind w:firstLine="566"/>
        <w:rPr>
          <w:b w:val="1"/>
          <w:sz w:val="28"/>
          <w:szCs w:val="28"/>
          <w:rFonts w:ascii="宋体" w:eastAsia="宋体" w:hAnsi="宋体" w:cs="宋体"/>
        </w:rPr>
      </w:pPr>
      <w:bookmarkStart w:id="14" w:name="_Toc530555720"/>
      <w:r>
        <w:rPr>
          <w:b w:val="1"/>
          <w:sz w:val="28"/>
          <w:szCs w:val="28"/>
          <w:rFonts w:ascii="宋体" w:eastAsia="宋体" w:hAnsi="宋体" w:cs="宋体" w:hint="eastAsia"/>
        </w:rPr>
        <w:t>三、校企合作</w:t>
      </w:r>
      <w:bookmarkEnd w:id="14"/>
    </w:p>
    <w:p>
      <w:pPr>
        <w:spacing w:lineRule="exact" w:line="480"/>
        <w:ind w:firstLine="566"/>
        <w:rPr>
          <w:sz w:val="28"/>
          <w:szCs w:val="28"/>
          <w:rFonts w:ascii="宋体" w:eastAsia="宋体" w:hAnsi="宋体" w:cs="宋体" w:hint="eastAsia"/>
        </w:rPr>
      </w:pPr>
      <w:r>
        <w:rPr>
          <w:b w:val="0"/>
          <w:sz w:val="28"/>
          <w:szCs w:val="28"/>
          <w:rFonts w:ascii="宋体" w:eastAsia="宋体" w:hAnsi="宋体" w:cs="宋体" w:hint="eastAsia"/>
        </w:rPr>
        <w:t>学</w:t>
      </w:r>
      <w:r>
        <w:rPr>
          <w:sz w:val="28"/>
          <w:szCs w:val="28"/>
          <w:rFonts w:ascii="宋体" w:eastAsia="宋体" w:hAnsi="宋体" w:cs="宋体" w:hint="eastAsia"/>
        </w:rPr>
        <w:t>院建立由行业主管部门领导、企业负责人和行业专家、学校专</w:t>
      </w:r>
      <w:r>
        <w:rPr>
          <w:sz w:val="28"/>
          <w:szCs w:val="28"/>
          <w:rFonts w:ascii="宋体" w:eastAsia="宋体" w:hAnsi="宋体" w:cs="宋体" w:hint="eastAsia"/>
        </w:rPr>
        <w:t>业教师共同组成的产学研结合教育委员会、校企合作处。各专业建立</w:t>
      </w:r>
      <w:r>
        <w:rPr>
          <w:sz w:val="28"/>
          <w:szCs w:val="28"/>
          <w:rFonts w:ascii="宋体" w:eastAsia="宋体" w:hAnsi="宋体" w:cs="宋体" w:hint="eastAsia"/>
        </w:rPr>
        <w:t>专业建设指导委员会，聘请行业企业专家参与专业建设、课程建设和</w:t>
      </w:r>
      <w:r>
        <w:rPr>
          <w:sz w:val="28"/>
          <w:szCs w:val="28"/>
          <w:rFonts w:ascii="宋体" w:eastAsia="宋体" w:hAnsi="宋体" w:cs="宋体" w:hint="eastAsia"/>
        </w:rPr>
        <w:t>人才培养。推动校企共建校内外生产性实训基地、技术服务和产品开</w:t>
      </w:r>
      <w:r>
        <w:rPr>
          <w:sz w:val="28"/>
          <w:szCs w:val="28"/>
          <w:rFonts w:ascii="宋体" w:eastAsia="宋体" w:hAnsi="宋体" w:cs="宋体" w:hint="eastAsia"/>
        </w:rPr>
        <w:t>发中心、创业教育实践平台，切实增强了技术技能积累能力和学生就</w:t>
      </w:r>
      <w:r>
        <w:rPr>
          <w:sz w:val="28"/>
          <w:szCs w:val="28"/>
          <w:rFonts w:ascii="宋体" w:eastAsia="宋体" w:hAnsi="宋体" w:cs="宋体" w:hint="eastAsia"/>
        </w:rPr>
        <w:t>业创业能力。目前正在开展校企合作的企业数165个，其中：正在开</w:t>
      </w:r>
      <w:r>
        <w:rPr>
          <w:sz w:val="28"/>
          <w:szCs w:val="28"/>
          <w:rFonts w:ascii="宋体" w:eastAsia="宋体" w:hAnsi="宋体" w:cs="宋体" w:hint="eastAsia"/>
        </w:rPr>
        <w:t>展校企合作的当地企业数28，加入职业教育集团数9个，其中：学校</w:t>
      </w:r>
      <w:r>
        <w:rPr>
          <w:sz w:val="28"/>
          <w:szCs w:val="28"/>
          <w:rFonts w:ascii="宋体" w:eastAsia="宋体" w:hAnsi="宋体" w:cs="宋体" w:hint="eastAsia"/>
        </w:rPr>
        <w:t>牵头成立的职业教育集团数1个。</w:t>
      </w: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在校企共建校内实训基地方面，2018年，新增人物形象设计专业</w:t>
      </w:r>
      <w:r>
        <w:rPr>
          <w:sz w:val="28"/>
          <w:szCs w:val="28"/>
          <w:rFonts w:ascii="宋体" w:eastAsia="宋体" w:hAnsi="宋体" w:cs="宋体"/>
        </w:rPr>
        <w:t>实训基地，与北京“再清椿”美容连锁企业合作，建立“再清椿”校</w:t>
      </w:r>
      <w:r>
        <w:rPr>
          <w:sz w:val="28"/>
          <w:szCs w:val="28"/>
          <w:rFonts w:ascii="宋体" w:eastAsia="宋体" w:hAnsi="宋体" w:cs="宋体"/>
        </w:rPr>
        <w:t>内直营店，形成集美容养生、美发、美甲、化妆造型、整体形象设计</w:t>
      </w:r>
      <w:r>
        <w:rPr>
          <w:sz w:val="28"/>
          <w:szCs w:val="28"/>
          <w:rFonts w:ascii="宋体" w:eastAsia="宋体" w:hAnsi="宋体" w:cs="宋体"/>
        </w:rPr>
        <w:t>于一体的综合性校内实训基地，实训室总面积约300平方米，分学生</w:t>
      </w:r>
      <w:r>
        <w:rPr>
          <w:sz w:val="28"/>
          <w:szCs w:val="28"/>
          <w:rFonts w:ascii="宋体" w:eastAsia="宋体" w:hAnsi="宋体" w:cs="宋体"/>
        </w:rPr>
        <w:t>实训区和对外经营区两部分，能够充分满足学生日常实习实训需求；</w:t>
      </w:r>
      <w:r>
        <w:rPr>
          <w:sz w:val="28"/>
          <w:szCs w:val="28"/>
          <w:rFonts w:ascii="宋体" w:eastAsia="宋体" w:hAnsi="宋体" w:cs="宋体"/>
        </w:rPr>
        <w:t>新建烹饪工艺与营养专业实训室，与北方钓鱼台烹饪学校合作，长期</w:t>
      </w:r>
      <w:r>
        <w:rPr>
          <w:sz w:val="28"/>
          <w:szCs w:val="28"/>
          <w:rFonts w:ascii="宋体" w:eastAsia="宋体" w:hAnsi="宋体" w:cs="宋体"/>
        </w:rPr>
        <w:t>有3名企业教师在我院教学；动物疾病诊断实训室完成完善升级改造</w:t>
      </w:r>
      <w:r>
        <w:rPr>
          <w:sz w:val="28"/>
          <w:szCs w:val="28"/>
          <w:rFonts w:ascii="宋体" w:eastAsia="宋体" w:hAnsi="宋体" w:cs="宋体"/>
        </w:rPr>
        <w:t>任务，接受合作企业捐赠，宠爱有家宠物医院提供7.849万的仪器设</w:t>
      </w:r>
      <w:r>
        <w:rPr>
          <w:sz w:val="28"/>
          <w:szCs w:val="28"/>
          <w:rFonts w:ascii="宋体" w:eastAsia="宋体" w:hAnsi="宋体" w:cs="宋体"/>
        </w:rPr>
        <w:t>备，大北农集团提供0.6万的猪抗体检测试剂；学院茶艺实训室接受</w:t>
      </w:r>
      <w:r>
        <w:rPr>
          <w:sz w:val="28"/>
          <w:szCs w:val="28"/>
          <w:rFonts w:ascii="宋体" w:eastAsia="宋体" w:hAnsi="宋体" w:cs="宋体"/>
        </w:rPr>
        <w:t>承德华祥苑茶叶有限公司、福建省天禧御茶园茶叶有限公司价值1万</w:t>
      </w:r>
      <w:r>
        <w:rPr>
          <w:sz w:val="28"/>
          <w:szCs w:val="28"/>
          <w:rFonts w:ascii="宋体" w:eastAsia="宋体" w:hAnsi="宋体" w:cs="宋体"/>
        </w:rPr>
        <w:t>的茶具和茶叶。2019年，有合作企业的专业数已达70%，企业订单学</w:t>
      </w:r>
      <w:r>
        <w:rPr>
          <w:sz w:val="28"/>
          <w:szCs w:val="28"/>
          <w:rFonts w:ascii="宋体" w:eastAsia="宋体" w:hAnsi="宋体" w:cs="宋体"/>
        </w:rPr>
        <w:t>生965名，聘请兼职教师逐年增加。</w:t>
      </w: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  <w:r>
        <w:rPr>
          <w:sz w:val="20"/>
        </w:rPr>
        <w:drawing>
          <wp:anchor distT="0" distB="0" distL="114300" distR="114300" simplePos="0" relativeHeight="251624957" behindDoc="1" locked="0" layoutInCell="1" allowOverlap="1">
            <wp:simplePos x="0" y="0"/>
            <wp:positionH relativeFrom="column">
              <wp:posOffset>62235</wp:posOffset>
            </wp:positionH>
            <wp:positionV relativeFrom="paragraph">
              <wp:posOffset>197489</wp:posOffset>
            </wp:positionV>
            <wp:extent cx="5147310" cy="2865755"/>
            <wp:effectExtent l="0" t="0" r="0" b="0"/>
            <wp:wrapNone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HP/AppData/Roaming/JisuOffice/ETemp/76804_20043136/fImage179103397916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86639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</w:p>
    <w:p>
      <w:pPr>
        <w:jc w:val="center"/>
        <w:spacing w:lineRule="exact" w:line="480"/>
        <w:ind w:left="0" w:firstLine="566"/>
        <w:rPr>
          <w:b w:val="1"/>
          <w:sz w:val="24"/>
          <w:szCs w:val="24"/>
          <w:rFonts w:ascii="宋体" w:eastAsia="宋体" w:hAnsi="宋体" w:cs="宋体"/>
        </w:rPr>
      </w:pPr>
      <w:r>
        <w:rPr>
          <w:b w:val="1"/>
          <w:sz w:val="24"/>
          <w:szCs w:val="24"/>
          <w:rFonts w:ascii="宋体" w:eastAsia="宋体" w:hAnsi="宋体" w:cs="宋体"/>
        </w:rPr>
        <w:t>我院与河北承德文化（伟东云教育集团）洽谈校企合作</w:t>
      </w:r>
    </w:p>
    <w:p>
      <w:pPr>
        <w:jc w:val="center"/>
        <w:spacing w:lineRule="exact" w:line="480"/>
        <w:ind w:left="0" w:firstLine="566"/>
        <w:rPr>
          <w:b w:val="1"/>
          <w:sz w:val="24"/>
          <w:szCs w:val="24"/>
          <w:rFonts w:ascii="宋体" w:eastAsia="宋体" w:hAnsi="宋体" w:cs="宋体"/>
        </w:rPr>
      </w:pPr>
    </w:p>
    <w:p>
      <w:pPr>
        <w:jc w:val="both"/>
        <w:spacing w:lineRule="exact" w:line="480"/>
        <w:ind w:left="0"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在人才培养模式改革方面，各专业依托校外实践基地，实施校企</w:t>
      </w:r>
      <w:r>
        <w:rPr>
          <w:sz w:val="28"/>
          <w:szCs w:val="28"/>
          <w:rFonts w:ascii="宋体" w:eastAsia="宋体" w:hAnsi="宋体" w:cs="宋体"/>
        </w:rPr>
        <w:t>深度融合，积极开展人才培养模式改革创新，一是深入市场调研，校</w:t>
      </w:r>
      <w:r>
        <w:rPr>
          <w:sz w:val="28"/>
          <w:szCs w:val="28"/>
          <w:rFonts w:ascii="宋体" w:eastAsia="宋体" w:hAnsi="宋体" w:cs="宋体"/>
        </w:rPr>
        <w:t>企合作共同制定人才培养方案；二是创新人才培养模式，校企共同落</w:t>
      </w:r>
      <w:r>
        <w:rPr>
          <w:sz w:val="28"/>
          <w:szCs w:val="28"/>
          <w:rFonts w:ascii="宋体" w:eastAsia="宋体" w:hAnsi="宋体" w:cs="宋体"/>
        </w:rPr>
        <w:t>实人才培养方案；三是教学贴近社会面向实战，学生综合素质不断提</w:t>
      </w:r>
      <w:r>
        <w:rPr>
          <w:sz w:val="28"/>
          <w:szCs w:val="28"/>
          <w:rFonts w:ascii="宋体" w:eastAsia="宋体" w:hAnsi="宋体" w:cs="宋体"/>
        </w:rPr>
        <w:t xml:space="preserve">升，就业质量稳步提高。 </w:t>
      </w:r>
    </w:p>
    <w:p>
      <w:pPr>
        <w:jc w:val="both"/>
        <w:spacing w:lineRule="exact" w:line="480"/>
        <w:ind w:firstLine="48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如旅游管理专业探索形成具有旅游类专业特色“项目引领、德技</w:t>
      </w:r>
      <w:r>
        <w:rPr>
          <w:sz w:val="28"/>
          <w:szCs w:val="28"/>
          <w:rFonts w:ascii="宋体" w:eastAsia="宋体" w:hAnsi="宋体" w:cs="宋体"/>
        </w:rPr>
        <w:t>双升，校企共育、全面对接”现代学徒制人才培养模式，将创新创业</w:t>
      </w:r>
      <w:r>
        <w:rPr>
          <w:sz w:val="28"/>
          <w:szCs w:val="28"/>
          <w:rFonts w:ascii="宋体" w:eastAsia="宋体" w:hAnsi="宋体" w:cs="宋体"/>
        </w:rPr>
        <w:t xml:space="preserve">与课程实施有机融合，以 “模拟企业运行与管理”项目为引领，整合</w:t>
      </w:r>
      <w:r>
        <w:rPr>
          <w:sz w:val="28"/>
          <w:szCs w:val="28"/>
          <w:rFonts w:ascii="宋体" w:eastAsia="宋体" w:hAnsi="宋体" w:cs="宋体"/>
        </w:rPr>
        <w:t>课程资源，推进模块化教学，按照企业成立、运营管理的全过程将其</w:t>
      </w:r>
      <w:r>
        <w:rPr>
          <w:sz w:val="28"/>
          <w:szCs w:val="28"/>
          <w:rFonts w:ascii="宋体" w:eastAsia="宋体" w:hAnsi="宋体" w:cs="宋体"/>
        </w:rPr>
        <w:t>划分为创建企业构想、市场调研、财务计划、营销策划与公司组建、项</w:t>
      </w:r>
      <w:r>
        <w:rPr>
          <w:sz w:val="28"/>
          <w:szCs w:val="28"/>
          <w:rFonts w:ascii="宋体" w:eastAsia="宋体" w:hAnsi="宋体" w:cs="宋体"/>
        </w:rPr>
        <w:t>目论证、项目实施等六个子项目，分六个学期递进式完成；通过“三</w:t>
      </w:r>
      <w:r>
        <w:rPr>
          <w:sz w:val="28"/>
          <w:szCs w:val="28"/>
          <w:rFonts w:ascii="宋体" w:eastAsia="宋体" w:hAnsi="宋体" w:cs="宋体"/>
        </w:rPr>
        <w:t>联两导”、“导师制”、“成人成才”教育、职业教育周等多种活动</w:t>
      </w:r>
      <w:r>
        <w:rPr>
          <w:sz w:val="28"/>
          <w:szCs w:val="28"/>
          <w:rFonts w:ascii="宋体" w:eastAsia="宋体" w:hAnsi="宋体" w:cs="宋体"/>
        </w:rPr>
        <w:t>实现铸魂育人。</w:t>
      </w:r>
    </w:p>
    <w:p>
      <w:pPr>
        <w:jc w:val="left"/>
        <w:spacing w:lineRule="exact" w:line="480"/>
        <w:ind w:firstLine="48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导游专业依托承德旅游资源优势和地近京津的区位优势，深化</w:t>
      </w:r>
      <w:r>
        <w:rPr>
          <w:sz w:val="28"/>
          <w:szCs w:val="28"/>
          <w:rFonts w:ascii="宋体" w:eastAsia="宋体" w:hAnsi="宋体" w:cs="宋体"/>
        </w:rPr>
        <w:t>校政企合作，实施“校企共建、课证岗融合、递进实践，实境育人”</w:t>
      </w:r>
      <w:r>
        <w:rPr>
          <w:sz w:val="28"/>
          <w:szCs w:val="28"/>
          <w:rFonts w:ascii="宋体" w:eastAsia="宋体" w:hAnsi="宋体" w:cs="宋体"/>
        </w:rPr>
        <w:t>现代学徒制人才培养模式改革。与承德市旅游和文化广电局、省市</w:t>
      </w:r>
      <w:r>
        <w:rPr>
          <w:sz w:val="28"/>
          <w:szCs w:val="28"/>
          <w:rFonts w:ascii="宋体" w:eastAsia="宋体" w:hAnsi="宋体" w:cs="宋体"/>
        </w:rPr>
        <w:t>旅游协会导游分会、京津冀区域旅行社、景区等建立长期稳定的</w:t>
      </w:r>
      <w:r>
        <w:rPr>
          <w:sz w:val="28"/>
          <w:szCs w:val="28"/>
          <w:rFonts w:ascii="宋体" w:eastAsia="宋体" w:hAnsi="宋体" w:cs="宋体"/>
        </w:rPr>
        <w:t>“互惠互利、共享共赢”产教融合育人机制，形成“六阶段，两季</w:t>
      </w:r>
      <w:r>
        <w:rPr>
          <w:sz w:val="28"/>
          <w:szCs w:val="28"/>
          <w:rFonts w:ascii="宋体" w:eastAsia="宋体" w:hAnsi="宋体" w:cs="宋体"/>
        </w:rPr>
        <w:t>节、三结合”成人成才一体化的递进式实践教学体系，安排模拟实</w:t>
      </w:r>
      <w:r>
        <w:rPr>
          <w:sz w:val="28"/>
          <w:szCs w:val="28"/>
          <w:rFonts w:ascii="宋体" w:eastAsia="宋体" w:hAnsi="宋体" w:cs="宋体"/>
        </w:rPr>
        <w:t>训、见习实习、跟岗实习、顶岗实习，设计六个学期的轮转学习，6</w:t>
      </w:r>
      <w:r>
        <w:rPr>
          <w:sz w:val="28"/>
          <w:szCs w:val="28"/>
          <w:rFonts w:ascii="宋体" w:eastAsia="宋体" w:hAnsi="宋体" w:cs="宋体"/>
        </w:rPr>
        <w:t>—10月的旅游旺季到旅行社、景区学习实践，真实接触旅游者，淡</w:t>
      </w:r>
      <w:r>
        <w:rPr>
          <w:sz w:val="28"/>
          <w:szCs w:val="28"/>
          <w:rFonts w:ascii="宋体" w:eastAsia="宋体" w:hAnsi="宋体" w:cs="宋体"/>
        </w:rPr>
        <w:t>季再返回学校学习，循序渐进地提高学生的职业能力和职业素质，</w:t>
      </w:r>
      <w:r>
        <w:rPr>
          <w:sz w:val="28"/>
          <w:szCs w:val="28"/>
          <w:rFonts w:ascii="宋体" w:eastAsia="宋体" w:hAnsi="宋体" w:cs="宋体"/>
        </w:rPr>
        <w:t>打造复合型技术技能旅游人才。</w:t>
      </w:r>
    </w:p>
    <w:p>
      <w:pPr>
        <w:jc w:val="both"/>
        <w:spacing w:lineRule="exact" w:line="480"/>
        <w:ind w:firstLine="48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>酒店管理专业实施“产教融合，高端引领，校企轮动”现代学徒</w:t>
      </w:r>
      <w:r>
        <w:rPr>
          <w:sz w:val="28"/>
          <w:szCs w:val="28"/>
          <w:rFonts w:ascii="宋体" w:eastAsia="宋体" w:hAnsi="宋体" w:cs="宋体"/>
        </w:rPr>
        <w:t>制人才培养模式；旅行社经营管理专业实施“订单培养、基地依托、课</w:t>
      </w:r>
      <w:r>
        <w:rPr>
          <w:sz w:val="28"/>
          <w:szCs w:val="28"/>
          <w:rFonts w:ascii="宋体" w:eastAsia="宋体" w:hAnsi="宋体" w:cs="宋体"/>
        </w:rPr>
        <w:t>岗融合、实境育人”现代学徒制人才培养模式。等，与当地企业共同</w:t>
      </w:r>
      <w:r>
        <w:rPr>
          <w:sz w:val="28"/>
          <w:szCs w:val="28"/>
          <w:rFonts w:ascii="宋体" w:eastAsia="宋体" w:hAnsi="宋体" w:cs="宋体"/>
        </w:rPr>
        <w:t>提升学生人才培养质量。</w:t>
      </w:r>
    </w:p>
    <w:p>
      <w:pPr>
        <w:pStyle w:val="PO9"/>
        <w:jc w:val="center"/>
        <w:spacing w:lineRule="exact" w:line="480" w:before="0" w:after="0"/>
        <w:ind w:left="357" w:firstLine="0"/>
        <w:rPr>
          <w:sz w:val="28"/>
          <w:szCs w:val="28"/>
          <w:rFonts w:ascii="宋体" w:eastAsia="宋体" w:hAnsi="宋体" w:cs="宋体"/>
        </w:rPr>
        <w:outlineLvl w:val="2"/>
      </w:pPr>
      <w:r>
        <w:rPr>
          <w:b w:val="1"/>
          <w:rFonts w:ascii="仿宋" w:eastAsia="仿宋" w:hAnsi="仿宋" w:hint="eastAsia"/>
        </w:rPr>
        <w:t>表11学院支付企业兼职教师课酬</w:t>
      </w:r>
    </w:p>
    <w:tbl>
      <w:tblID w:val="0"/>
      <w:tblPr>
        <w:tblStyle w:val="PO37"/>
        <w:tblpPr w:vertAnchor="text" w:tblpX="229" w:tblpY="255"/>
        <w:tblCellMar>
          <w:left w:w="108" w:type="dxa"/>
          <w:top w:w="0" w:type="dxa"/>
          <w:right w:w="108" w:type="dxa"/>
          <w:bottom w:w="0" w:type="dxa"/>
        </w:tblCellMar>
        <w:tblW w:w="8224" w:type="dxa"/>
        <w:tblLook w:val="0004A0" w:firstRow="1" w:lastRow="0" w:firstColumn="1" w:lastColumn="0" w:noHBand="0" w:noVBand="1"/>
        <w:tblLayout w:type="fixed"/>
      </w:tblPr>
      <w:tblGrid>
        <w:gridCol w:w="3548"/>
        <w:gridCol w:w="1714"/>
        <w:gridCol w:w="1696"/>
        <w:gridCol w:w="1266"/>
      </w:tblGrid>
      <w:tr>
        <w:trPr/>
        <w:tc>
          <w:tcPr>
            <w:tcW w:type="dxa" w:w="3548"/>
            <w:vAlign w:val="center"/>
          </w:tcPr>
          <w:p>
            <w:pPr>
              <w:jc w:val="center"/>
              <w:spacing w:lineRule="exact" w:line="366"/>
              <w:rPr>
                <w:b w:val="1"/>
                <w:sz w:val="24"/>
                <w:szCs w:val="24"/>
                <w:rFonts w:ascii="宋体" w:eastAsia="宋体" w:hAnsi="宋体" w:cs="宋体"/>
              </w:rPr>
            </w:pPr>
            <w:r>
              <w:rPr>
                <w:b w:val="1"/>
                <w:sz w:val="24"/>
                <w:szCs w:val="24"/>
                <w:rFonts w:ascii="宋体" w:eastAsia="宋体" w:hAnsi="宋体" w:cs="宋体" w:hint="eastAsia"/>
              </w:rPr>
              <w:t>项目</w:t>
            </w:r>
          </w:p>
        </w:tc>
        <w:tc>
          <w:tcPr>
            <w:tcW w:type="dxa" w:w="1714"/>
            <w:vAlign w:val="center"/>
          </w:tcPr>
          <w:p>
            <w:pPr>
              <w:jc w:val="center"/>
              <w:spacing w:lineRule="exact" w:line="366"/>
              <w:rPr>
                <w:b w:val="1"/>
                <w:sz w:val="24"/>
                <w:szCs w:val="24"/>
                <w:rFonts w:ascii="宋体" w:eastAsia="宋体" w:hAnsi="宋体" w:cs="宋体"/>
              </w:rPr>
            </w:pPr>
            <w:r>
              <w:rPr>
                <w:b w:val="1"/>
                <w:sz w:val="24"/>
                <w:szCs w:val="24"/>
                <w:rFonts w:ascii="宋体" w:eastAsia="宋体" w:hAnsi="宋体" w:cs="宋体" w:hint="eastAsia"/>
              </w:rPr>
              <w:t>2017</w:t>
            </w:r>
          </w:p>
        </w:tc>
        <w:tc>
          <w:tcPr>
            <w:tcW w:type="dxa" w:w="1696"/>
            <w:vAlign w:val="center"/>
          </w:tcPr>
          <w:p>
            <w:pPr>
              <w:jc w:val="center"/>
              <w:spacing w:lineRule="exact" w:line="366"/>
              <w:rPr>
                <w:b w:val="1"/>
                <w:sz w:val="24"/>
                <w:szCs w:val="24"/>
                <w:rFonts w:ascii="宋体" w:eastAsia="宋体" w:hAnsi="宋体" w:cs="宋体"/>
              </w:rPr>
            </w:pPr>
            <w:r>
              <w:rPr>
                <w:b w:val="1"/>
                <w:sz w:val="24"/>
                <w:szCs w:val="24"/>
                <w:rFonts w:ascii="宋体" w:eastAsia="宋体" w:hAnsi="宋体" w:cs="宋体" w:hint="eastAsia"/>
              </w:rPr>
              <w:t>2018</w:t>
            </w:r>
          </w:p>
        </w:tc>
        <w:tc>
          <w:tcPr>
            <w:tcW w:type="dxa" w:w="1266"/>
            <w:vAlign w:val="center"/>
          </w:tcPr>
          <w:p>
            <w:pPr>
              <w:jc w:val="center"/>
              <w:spacing w:lineRule="exact" w:line="366"/>
              <w:rPr>
                <w:b w:val="1"/>
                <w:sz w:val="24"/>
                <w:szCs w:val="24"/>
                <w:rFonts w:ascii="宋体" w:eastAsia="宋体" w:hAnsi="宋体" w:cs="宋体"/>
              </w:rPr>
            </w:pPr>
            <w:r>
              <w:rPr>
                <w:b w:val="1"/>
                <w:sz w:val="24"/>
                <w:szCs w:val="24"/>
                <w:rFonts w:ascii="宋体" w:eastAsia="宋体" w:hAnsi="宋体" w:cs="宋体" w:hint="eastAsia"/>
              </w:rPr>
              <w:t>2019</w:t>
            </w:r>
          </w:p>
        </w:tc>
      </w:tr>
      <w:tr>
        <w:trPr/>
        <w:tc>
          <w:tcPr>
            <w:tcW w:type="dxa" w:w="354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支付企业兼职教师课酬额</w:t>
            </w:r>
          </w:p>
        </w:tc>
        <w:tc>
          <w:tcPr>
            <w:tcW w:type="dxa" w:w="1714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169556</w:t>
            </w:r>
          </w:p>
        </w:tc>
        <w:tc>
          <w:tcPr>
            <w:tcW w:type="dxa" w:w="169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227855</w:t>
            </w:r>
          </w:p>
        </w:tc>
        <w:tc>
          <w:tcPr>
            <w:tcW w:type="dxa" w:w="126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162232</w:t>
            </w:r>
          </w:p>
        </w:tc>
      </w:tr>
    </w:tbl>
    <w:p>
      <w:pPr>
        <w:pStyle w:val="PO9"/>
        <w:jc w:val="left"/>
        <w:spacing w:lineRule="exact" w:line="480" w:before="0" w:after="0"/>
        <w:ind w:left="357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9"/>
        <w:jc w:val="left"/>
        <w:spacing w:lineRule="exact" w:line="480" w:before="0" w:after="0"/>
        <w:ind w:left="357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1"/>
        <w:rPr>
          <w:rStyle w:val="PO1"/>
        </w:rPr>
      </w:pPr>
    </w:p>
    <w:p>
      <w:pPr>
        <w:pStyle w:val="PO1"/>
        <w:rPr>
          <w:rStyle w:val="PO1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40" type="#_x0000_t75" style="position:absolute;left:0;margin-left:5pt;mso-position-horizontal:absolute;mso-position-horizontal-relative:text;margin-top:20pt;mso-position-vertical:absolute;mso-position-vertical-relative:text;width:419.3pt;height:164.4pt;z-index:-251624970" filled="t">
            <v:imagedata r:id="rId17" o:title=" "/>
          </v:shape>
        </w:pict>
      </w:r>
    </w:p>
    <w:p>
      <w:pPr>
        <w:pStyle w:val="PO9"/>
        <w:jc w:val="left"/>
        <w:spacing w:lineRule="exact" w:line="480" w:before="0" w:after="0"/>
        <w:ind w:left="357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9"/>
        <w:jc w:val="left"/>
        <w:spacing w:lineRule="exact" w:line="480" w:before="0" w:after="0"/>
        <w:ind w:left="357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9"/>
        <w:jc w:val="left"/>
        <w:spacing w:lineRule="exact" w:line="480" w:before="0" w:after="0"/>
        <w:ind w:left="357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9"/>
        <w:jc w:val="left"/>
        <w:spacing w:lineRule="exact" w:line="480" w:before="0" w:after="0"/>
        <w:ind w:left="357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9"/>
        <w:jc w:val="left"/>
        <w:spacing w:lineRule="exact" w:line="480" w:before="0" w:after="0"/>
        <w:ind w:left="0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9"/>
        <w:jc w:val="left"/>
        <w:spacing w:lineRule="exact" w:line="480" w:before="0" w:after="0"/>
        <w:ind w:left="0" w:firstLine="0"/>
        <w:rPr>
          <w:sz w:val="28"/>
          <w:szCs w:val="28"/>
          <w:rFonts w:ascii="宋体" w:eastAsia="宋体" w:hAnsi="宋体" w:cs="宋体"/>
        </w:rPr>
        <w:outlineLvl w:val="2"/>
      </w:pPr>
      <w:r>
        <w:rPr>
          <w:sz w:val="28"/>
          <w:szCs w:val="28"/>
          <w:rFonts w:ascii="宋体" w:eastAsia="宋体" w:hAnsi="宋体" w:cs="宋体"/>
        </w:rPr>
        <w:t xml:space="preserve">    </w:t>
      </w:r>
    </w:p>
    <w:p>
      <w:pPr>
        <w:pStyle w:val="PO9"/>
        <w:jc w:val="left"/>
        <w:spacing w:lineRule="exact" w:line="480" w:before="0" w:after="0"/>
        <w:ind w:left="0" w:firstLine="0"/>
        <w:rPr>
          <w:sz w:val="28"/>
          <w:szCs w:val="28"/>
          <w:rFonts w:ascii="宋体" w:eastAsia="宋体" w:hAnsi="宋体" w:cs="宋体"/>
        </w:rPr>
        <w:outlineLvl w:val="2"/>
      </w:pPr>
    </w:p>
    <w:p>
      <w:pPr>
        <w:pStyle w:val="PO9"/>
        <w:jc w:val="left"/>
        <w:spacing w:lineRule="exact" w:line="480" w:before="0" w:after="0"/>
        <w:ind w:left="0" w:firstLine="0"/>
        <w:rPr>
          <w:sz w:val="28"/>
          <w:szCs w:val="28"/>
          <w:rFonts w:ascii="宋体" w:eastAsia="宋体" w:hAnsi="宋体" w:cs="宋体"/>
        </w:rPr>
        <w:outlineLvl w:val="2"/>
      </w:pPr>
      <w:r>
        <w:rPr>
          <w:sz w:val="28"/>
          <w:szCs w:val="28"/>
          <w:rFonts w:ascii="宋体" w:eastAsia="宋体" w:hAnsi="宋体" w:cs="宋体"/>
        </w:rPr>
        <w:t xml:space="preserve">    </w:t>
      </w:r>
      <w:bookmarkStart w:id="15" w:name="_Toc530555721"/>
      <w:r>
        <w:rPr>
          <w:sz w:val="28"/>
          <w:szCs w:val="28"/>
          <w:rFonts w:ascii="宋体" w:eastAsia="宋体" w:hAnsi="宋体" w:cs="宋体" w:hint="eastAsia"/>
        </w:rPr>
        <w:t>四</w:t>
      </w:r>
      <w:bookmarkEnd w:id="15"/>
      <w:bookmarkStart w:id="16" w:name="_Toc530555722"/>
      <w:r>
        <w:rPr>
          <w:sz w:val="28"/>
          <w:szCs w:val="28"/>
          <w:rFonts w:ascii="宋体" w:eastAsia="宋体" w:hAnsi="宋体" w:cs="宋体" w:hint="eastAsia"/>
        </w:rPr>
        <w:t>、</w:t>
      </w:r>
      <w:r>
        <w:rPr>
          <w:sz w:val="28"/>
          <w:szCs w:val="28"/>
          <w:rFonts w:ascii="宋体" w:eastAsia="宋体" w:hAnsi="宋体" w:cs="宋体"/>
        </w:rPr>
        <w:t>校内实践</w:t>
      </w:r>
      <w:r>
        <w:rPr>
          <w:sz w:val="28"/>
          <w:szCs w:val="28"/>
          <w:rFonts w:ascii="宋体" w:eastAsia="宋体" w:hAnsi="宋体" w:cs="宋体" w:hint="eastAsia"/>
        </w:rPr>
        <w:t>基地</w:t>
      </w:r>
      <w:bookmarkEnd w:id="16"/>
    </w:p>
    <w:p>
      <w:pPr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  <w:snapToGrid w:val="off"/>
      </w:pPr>
      <w:r>
        <w:rPr>
          <w:sz w:val="28"/>
          <w:szCs w:val="28"/>
          <w:rFonts w:ascii="宋体" w:eastAsia="宋体" w:hAnsi="宋体" w:cs="宋体" w:hint="eastAsia"/>
        </w:rPr>
        <w:t>学院校内实践基地建筑面积1万平米、建有五十个实训室，集教</w:t>
      </w:r>
      <w:r>
        <w:rPr>
          <w:sz w:val="28"/>
          <w:szCs w:val="28"/>
          <w:rFonts w:ascii="宋体" w:eastAsia="宋体" w:hAnsi="宋体" w:cs="宋体" w:hint="eastAsia"/>
        </w:rPr>
        <w:t>学、培训和技能鉴定为一体的旅游综合实训中心、旅游信息综合实训</w:t>
      </w:r>
      <w:r>
        <w:rPr>
          <w:sz w:val="28"/>
          <w:szCs w:val="28"/>
          <w:rFonts w:ascii="宋体" w:eastAsia="宋体" w:hAnsi="宋体" w:cs="宋体" w:hint="eastAsia"/>
        </w:rPr>
        <w:t>室、</w:t>
      </w:r>
      <w:r>
        <w:rPr>
          <w:sz w:val="28"/>
          <w:szCs w:val="28"/>
          <w:rFonts w:ascii="宋体" w:eastAsia="宋体" w:hAnsi="宋体" w:cs="宋体"/>
        </w:rPr>
        <w:t>VBSE</w:t>
      </w:r>
      <w:r>
        <w:rPr>
          <w:sz w:val="28"/>
          <w:szCs w:val="28"/>
          <w:rFonts w:ascii="宋体" w:eastAsia="宋体" w:hAnsi="宋体" w:cs="宋体" w:hint="eastAsia"/>
        </w:rPr>
        <w:t>虚拟商业社会环境跨专业综合实训中心、京东电商创业实训</w:t>
      </w:r>
      <w:r>
        <w:rPr>
          <w:sz w:val="28"/>
          <w:szCs w:val="28"/>
          <w:rFonts w:ascii="宋体" w:eastAsia="宋体" w:hAnsi="宋体" w:cs="宋体" w:hint="eastAsia"/>
        </w:rPr>
        <w:t>基地、民族民俗展览馆、多功能语言实训室、交互学习实训室、高尔</w:t>
      </w:r>
      <w:r>
        <w:rPr>
          <w:sz w:val="28"/>
          <w:szCs w:val="28"/>
          <w:rFonts w:ascii="宋体" w:eastAsia="宋体" w:hAnsi="宋体" w:cs="宋体" w:hint="eastAsia"/>
        </w:rPr>
        <w:t>夫模拟实训室、同声传译实训室、中药材综合实训室、食品药品分析</w:t>
      </w:r>
      <w:r>
        <w:rPr>
          <w:sz w:val="28"/>
          <w:szCs w:val="28"/>
          <w:rFonts w:ascii="宋体" w:eastAsia="宋体" w:hAnsi="宋体" w:cs="宋体" w:hint="eastAsia"/>
        </w:rPr>
        <w:t>检测实训室、农业工程实训室等实训室，旅苑旅行社、教学兽医院、教</w:t>
      </w:r>
      <w:r>
        <w:rPr>
          <w:sz w:val="28"/>
          <w:szCs w:val="28"/>
          <w:rFonts w:ascii="宋体" w:eastAsia="宋体" w:hAnsi="宋体" w:cs="宋体" w:hint="eastAsia"/>
        </w:rPr>
        <w:t>学牧场等生产性实践教学基地，</w:t>
      </w:r>
      <w:r>
        <w:rPr>
          <w:sz w:val="28"/>
          <w:szCs w:val="28"/>
          <w:rFonts w:ascii="宋体" w:eastAsia="宋体" w:hAnsi="宋体" w:cs="宋体"/>
        </w:rPr>
        <w:t>能充分满足各专业学生日常实验、实</w:t>
      </w:r>
      <w:r>
        <w:rPr>
          <w:sz w:val="28"/>
          <w:szCs w:val="28"/>
          <w:rFonts w:ascii="宋体" w:eastAsia="宋体" w:hAnsi="宋体" w:cs="宋体"/>
        </w:rPr>
        <w:t>训教学需求</w:t>
      </w:r>
      <w:r>
        <w:rPr>
          <w:sz w:val="28"/>
          <w:szCs w:val="28"/>
          <w:rFonts w:ascii="宋体" w:eastAsia="宋体" w:hAnsi="宋体" w:cs="宋体" w:hint="eastAsia"/>
        </w:rPr>
        <w:t>。</w:t>
      </w:r>
      <w:r>
        <w:rPr>
          <w:sz w:val="28"/>
          <w:szCs w:val="28"/>
          <w:rFonts w:ascii="宋体" w:eastAsia="宋体" w:hAnsi="宋体" w:cs="宋体"/>
        </w:rPr>
        <w:t>2020年学院校内实践基地数167个，校内实践教学工位</w:t>
      </w:r>
      <w:r>
        <w:rPr>
          <w:sz w:val="28"/>
          <w:szCs w:val="28"/>
          <w:rFonts w:ascii="宋体" w:eastAsia="宋体" w:hAnsi="宋体" w:cs="宋体"/>
        </w:rPr>
        <w:t>数5025个。其中电子商务专业与京东集团合作，共建生产性电子商务</w:t>
      </w:r>
      <w:r>
        <w:rPr>
          <w:sz w:val="28"/>
          <w:szCs w:val="28"/>
          <w:rFonts w:ascii="宋体" w:eastAsia="宋体" w:hAnsi="宋体" w:cs="宋体"/>
        </w:rPr>
        <w:t xml:space="preserve">创业实训基地，占地1100 平方米，包括创业孵化中心1个、京东展厅</w:t>
      </w:r>
      <w:r>
        <w:rPr>
          <w:sz w:val="28"/>
          <w:szCs w:val="28"/>
          <w:rFonts w:ascii="宋体" w:eastAsia="宋体" w:hAnsi="宋体" w:cs="宋体"/>
        </w:rPr>
        <w:t>+地方特色馆（2合1）、纬创电商众创空间1个、研发会议室1个、电</w:t>
      </w:r>
      <w:r>
        <w:rPr>
          <w:sz w:val="28"/>
          <w:szCs w:val="28"/>
          <w:rFonts w:ascii="宋体" w:eastAsia="宋体" w:hAnsi="宋体" w:cs="宋体"/>
        </w:rPr>
        <w:t>子商务实训室3个、企业文化走廊1个、咖啡间+运营办公室2个，拥</w:t>
      </w:r>
      <w:r>
        <w:rPr>
          <w:sz w:val="28"/>
          <w:szCs w:val="28"/>
          <w:rFonts w:ascii="宋体" w:eastAsia="宋体" w:hAnsi="宋体" w:cs="宋体"/>
        </w:rPr>
        <w:t>有ITMC和京东电商平台创业实训系统3套，京东电商课程资源1套；</w:t>
      </w:r>
      <w:r>
        <w:rPr>
          <w:sz w:val="28"/>
          <w:szCs w:val="28"/>
          <w:rFonts w:ascii="宋体" w:eastAsia="宋体" w:hAnsi="宋体" w:cs="宋体"/>
        </w:rPr>
        <w:t>412个学习工作台位的财经类虚拟商业社会实训室。建成动物医学</w:t>
      </w:r>
      <w:r>
        <w:rPr>
          <w:sz w:val="28"/>
          <w:szCs w:val="28"/>
          <w:rFonts w:ascii="宋体" w:eastAsia="宋体" w:hAnsi="宋体" w:cs="宋体"/>
        </w:rPr>
        <w:t>实训中心，总面积达2560平方米，主要包括动物标本展示厅、动物病</w:t>
      </w:r>
      <w:r>
        <w:rPr>
          <w:sz w:val="28"/>
          <w:szCs w:val="28"/>
          <w:rFonts w:ascii="宋体" w:eastAsia="宋体" w:hAnsi="宋体" w:cs="宋体"/>
        </w:rPr>
        <w:t>理解剖实训室、药物化学实训室、动物性食品检验实训室、动物疫病</w:t>
      </w:r>
      <w:r>
        <w:rPr>
          <w:sz w:val="28"/>
          <w:szCs w:val="28"/>
          <w:rFonts w:ascii="宋体" w:eastAsia="宋体" w:hAnsi="宋体" w:cs="宋体"/>
        </w:rPr>
        <w:t>诊断实训室、动物外科手术实训室、校企合作共建动物医院、实习牧</w:t>
      </w:r>
      <w:r>
        <w:rPr>
          <w:sz w:val="28"/>
          <w:szCs w:val="28"/>
          <w:rFonts w:ascii="宋体" w:eastAsia="宋体" w:hAnsi="宋体" w:cs="宋体"/>
        </w:rPr>
        <w:t>场等8个校内实训基地。</w:t>
      </w:r>
    </w:p>
    <w:p>
      <w:pPr>
        <w:spacing w:lineRule="exact" w:line="480" w:before="0" w:after="0"/>
        <w:ind w:firstLine="566"/>
        <w:rPr>
          <w:b w:val="1"/>
          <w:sz w:val="28"/>
          <w:szCs w:val="28"/>
          <w:rFonts w:ascii="宋体" w:eastAsia="宋体" w:hAnsi="宋体" w:cs="宋体" w:hint="eastAsia"/>
        </w:rPr>
        <w:snapToGrid w:val="off"/>
      </w:pPr>
    </w:p>
    <w:p>
      <w:pPr>
        <w:spacing w:lineRule="exact" w:line="480" w:before="0" w:after="0"/>
        <w:ind w:firstLine="566"/>
        <w:rPr>
          <w:b w:val="1"/>
          <w:sz w:val="28"/>
          <w:szCs w:val="28"/>
          <w:rFonts w:ascii="宋体" w:eastAsia="宋体" w:hAnsi="宋体" w:cs="宋体"/>
        </w:rPr>
        <w:snapToGrid w:val="off"/>
      </w:pPr>
      <w:r>
        <w:rPr>
          <w:b w:val="1"/>
          <w:sz w:val="28"/>
          <w:szCs w:val="28"/>
          <w:rFonts w:ascii="宋体" w:eastAsia="宋体" w:hAnsi="宋体" w:cs="宋体" w:hint="eastAsia"/>
        </w:rPr>
        <w:t>五</w:t>
      </w:r>
      <w:bookmarkStart w:id="17" w:name="_Toc530555723"/>
      <w:r>
        <w:rPr>
          <w:b w:val="1"/>
          <w:sz w:val="28"/>
          <w:szCs w:val="28"/>
          <w:rFonts w:ascii="宋体" w:eastAsia="宋体" w:hAnsi="宋体" w:cs="宋体" w:hint="eastAsia"/>
        </w:rPr>
        <w:t>、</w:t>
      </w:r>
      <w:r>
        <w:rPr>
          <w:b w:val="1"/>
          <w:sz w:val="28"/>
          <w:szCs w:val="28"/>
          <w:rFonts w:ascii="宋体" w:eastAsia="宋体" w:hAnsi="宋体" w:cs="宋体"/>
        </w:rPr>
        <w:t>校外实践教学</w:t>
      </w:r>
      <w:bookmarkEnd w:id="17"/>
    </w:p>
    <w:p>
      <w:pPr>
        <w:spacing w:lineRule="exact" w:line="480" w:before="0" w:after="0"/>
        <w:ind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学院与行业</w:t>
      </w:r>
      <w:r>
        <w:rPr>
          <w:sz w:val="28"/>
          <w:szCs w:val="28"/>
          <w:rFonts w:ascii="宋体" w:eastAsia="宋体" w:hAnsi="宋体" w:cs="宋体"/>
        </w:rPr>
        <w:t>、企业合作建立校外实习实训基地205个。校外实习</w:t>
      </w:r>
      <w:r>
        <w:rPr>
          <w:sz w:val="28"/>
          <w:szCs w:val="28"/>
          <w:rFonts w:ascii="宋体" w:eastAsia="宋体" w:hAnsi="宋体" w:cs="宋体"/>
        </w:rPr>
        <w:t>实训基地规模基本稳定，具有接受半年顶岗实习学生、接收应届毕业</w:t>
      </w:r>
      <w:r>
        <w:rPr>
          <w:sz w:val="28"/>
          <w:szCs w:val="28"/>
          <w:rFonts w:ascii="宋体" w:eastAsia="宋体" w:hAnsi="宋体" w:cs="宋体"/>
        </w:rPr>
        <w:t>生等多种功能，使用效率较高，基地能够发放学生实习补贴、提供住</w:t>
      </w:r>
      <w:r>
        <w:rPr>
          <w:sz w:val="28"/>
          <w:szCs w:val="28"/>
          <w:rFonts w:ascii="宋体" w:eastAsia="宋体" w:hAnsi="宋体" w:cs="宋体"/>
        </w:rPr>
        <w:t>宿条件，能够较好地满足校外专业实训和半年顶岗实习的需要。2018</w:t>
      </w:r>
      <w:r>
        <w:rPr>
          <w:sz w:val="28"/>
          <w:szCs w:val="28"/>
          <w:rFonts w:ascii="宋体" w:eastAsia="宋体" w:hAnsi="宋体" w:cs="宋体"/>
        </w:rPr>
        <w:t>学年学生校外实习实训基地学时总量2230600人日。</w:t>
      </w:r>
    </w:p>
    <w:p>
      <w:pPr>
        <w:pStyle w:val="PO7"/>
        <w:spacing w:lineRule="exact" w:line="480" w:before="260" w:after="260"/>
        <w:ind w:firstLine="566"/>
        <w:rPr>
          <w:sz w:val="28"/>
          <w:szCs w:val="28"/>
          <w:rFonts w:ascii="宋体" w:eastAsia="宋体" w:hAnsi="宋体" w:cs="宋体"/>
        </w:rPr>
      </w:pPr>
      <w:bookmarkStart w:id="18" w:name="_Toc530555724"/>
      <w:r>
        <w:rPr>
          <w:sz w:val="28"/>
          <w:szCs w:val="28"/>
          <w:rFonts w:ascii="宋体" w:eastAsia="宋体" w:hAnsi="宋体" w:cs="宋体" w:hint="eastAsia"/>
        </w:rPr>
        <w:t xml:space="preserve">第五部分 学生发展</w:t>
      </w:r>
      <w:bookmarkEnd w:id="18"/>
    </w:p>
    <w:p>
      <w:pPr>
        <w:pStyle w:val="PO9"/>
        <w:spacing w:lineRule="exact" w:line="480" w:before="260" w:after="260"/>
        <w:ind w:firstLine="566"/>
        <w:rPr>
          <w:sz w:val="28"/>
          <w:szCs w:val="28"/>
          <w:rFonts w:ascii="宋体" w:eastAsia="宋体" w:hAnsi="宋体" w:cs="宋体"/>
        </w:rPr>
      </w:pPr>
      <w:bookmarkStart w:id="19" w:name="_Toc530555725"/>
      <w:r>
        <w:rPr>
          <w:sz w:val="28"/>
          <w:szCs w:val="28"/>
          <w:rFonts w:ascii="宋体" w:eastAsia="宋体" w:hAnsi="宋体" w:cs="宋体" w:hint="eastAsia"/>
        </w:rPr>
        <w:t>一、招生情况</w:t>
      </w:r>
      <w:bookmarkEnd w:id="19"/>
    </w:p>
    <w:p>
      <w:pPr>
        <w:spacing w:lineRule="exact" w:line="480" w:before="0" w:after="0"/>
        <w:ind w:right="6" w:firstLine="566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2019年，学院计划招生人数为4000，实际报到3082，报到率为7</w:t>
      </w:r>
      <w:r>
        <w:rPr>
          <w:sz w:val="28"/>
          <w:szCs w:val="28"/>
          <w:rFonts w:ascii="宋体" w:eastAsia="宋体" w:hAnsi="宋体" w:cs="宋体" w:hint="eastAsia"/>
        </w:rPr>
        <w:t>7.05%，招生情况具体内容见表：</w:t>
      </w:r>
    </w:p>
    <w:p>
      <w:pPr>
        <w:spacing w:lineRule="exact" w:line="480" w:before="120" w:after="120"/>
        <w:ind w:right="6" w:firstLine="1928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 xml:space="preserve">表12 </w:t>
      </w:r>
      <w:r>
        <w:rPr>
          <w:b w:val="1"/>
          <w:sz w:val="30"/>
          <w:szCs w:val="30"/>
          <w:rFonts w:ascii="仿宋" w:eastAsia="仿宋" w:hAnsi="仿宋"/>
        </w:rPr>
        <w:t>近三年统招招生明细一览表</w:t>
      </w:r>
    </w:p>
    <w:tbl>
      <w:tblID w:val="0"/>
      <w:tblP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8465" w:type="dxa"/>
        <w:tblInd w:w="10" w:type="dxa"/>
        <w:tblLook w:val="000000" w:firstRow="0" w:lastRow="0" w:firstColumn="0" w:lastColumn="0" w:noHBand="0" w:noVBand="0"/>
        <w:tblLayout w:type="fixed"/>
      </w:tblPr>
      <w:tblGrid>
        <w:gridCol w:w="636"/>
        <w:gridCol w:w="1957"/>
        <w:gridCol w:w="1957"/>
        <w:gridCol w:w="1957"/>
        <w:gridCol w:w="1958"/>
      </w:tblGrid>
      <w:tr>
        <w:trPr>
          <w:trHeight w:hRule="atleast" w:val="448"/>
        </w:trPr>
        <w:tc>
          <w:tcPr>
            <w:tcW w:type="dxa" w:w="636"/>
            <w:vAlign w:val="center"/>
            <w:shd w:val="clear" w:color="000000"/>
          </w:tcPr>
          <w:p>
            <w:pPr>
              <w:jc w:val="center"/>
              <w:spacing w:lineRule="atLeast" w:line="0"/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</w:pP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exact" w:line="274"/>
              <w:ind w:left="160" w:firstLine="0"/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  <w:t>统招招生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exact" w:line="274"/>
              <w:ind w:left="100" w:firstLine="0"/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  <w:t>2017年（人）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exact" w:line="274"/>
              <w:ind w:left="80" w:firstLine="0"/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  <w:t>2018（人）</w:t>
            </w:r>
          </w:p>
        </w:tc>
        <w:tc>
          <w:tcPr>
            <w:tcW w:type="dxa" w:w="1958"/>
            <w:vAlign w:val="center"/>
            <w:shd w:val="clear" w:color="000000"/>
          </w:tcPr>
          <w:p>
            <w:pPr>
              <w:jc w:val="center"/>
              <w:spacing w:lineRule="exact" w:line="274"/>
              <w:ind w:left="100" w:firstLine="0"/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sz w:val="24"/>
                <w:szCs w:val="24"/>
                <w:rFonts w:asciiTheme="minorEastAsia" w:eastAsiaTheme="minorEastAsia" w:hAnsiTheme="minorEastAsia"/>
              </w:rPr>
              <w:t>2019（人）</w:t>
            </w:r>
          </w:p>
        </w:tc>
      </w:tr>
      <w:tr>
        <w:trPr>
          <w:trHeight w:hRule="atleast" w:val="448"/>
        </w:trPr>
        <w:tc>
          <w:tcPr>
            <w:tcW w:type="dxa" w:w="636"/>
            <w:vAlign w:val="center"/>
            <w:vMerge w:val="restart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类</w:t>
            </w:r>
          </w:p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别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计划招生数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3872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4000</w:t>
            </w:r>
          </w:p>
        </w:tc>
        <w:tc>
          <w:tcPr>
            <w:tcW w:type="dxa" w:w="1958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4000</w:t>
            </w:r>
          </w:p>
        </w:tc>
      </w:tr>
      <w:tr>
        <w:trPr>
          <w:trHeight w:hRule="atleast" w:val="448"/>
        </w:trPr>
        <w:tc>
          <w:tcPr>
            <w:tcW w:type="dxa" w:w="636"/>
            <w:vAlign w:val="center"/>
            <w:vMerge/>
            <w:shd w:val="clear" w:color="000000"/>
          </w:tcPr>
          <w:p/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实际招生数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2477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2918</w:t>
            </w:r>
          </w:p>
        </w:tc>
        <w:tc>
          <w:tcPr>
            <w:tcW w:type="dxa" w:w="1958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3082</w:t>
            </w:r>
          </w:p>
        </w:tc>
      </w:tr>
      <w:tr>
        <w:trPr>
          <w:trHeight w:hRule="atleast" w:val="448"/>
        </w:trPr>
        <w:tc>
          <w:tcPr>
            <w:tcW w:type="dxa" w:w="636"/>
            <w:vAlign w:val="center"/>
            <w:vMerge/>
            <w:shd w:val="clear" w:color="000000"/>
          </w:tcPr>
          <w:p/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考生报考数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8219</w:t>
            </w:r>
          </w:p>
        </w:tc>
        <w:tc>
          <w:tcPr>
            <w:tcW w:type="dxa" w:w="1957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8384</w:t>
            </w:r>
          </w:p>
        </w:tc>
        <w:tc>
          <w:tcPr>
            <w:tcW w:type="dxa" w:w="1958"/>
            <w:vAlign w:val="center"/>
            <w:shd w:val="clear" w:color="000000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9544</w:t>
            </w:r>
          </w:p>
        </w:tc>
      </w:tr>
    </w:tbl>
    <w:p>
      <w:pPr>
        <w:spacing w:lineRule="exact" w:line="480" w:before="0" w:after="0"/>
        <w:ind w:right="6" w:firstLine="320"/>
        <w:rPr>
          <w:rFonts w:ascii="仿宋" w:eastAsia="仿宋" w:hAnsi="仿宋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42" type="#_x0000_t75" style="position:absolute;left:0;margin-left:-1pt;mso-position-horizontal:absolute;mso-position-horizontal-relative:text;margin-top:13pt;mso-position-vertical:absolute;mso-position-vertical-relative:text;width:420.7pt;height:156.4pt;z-index:-251624973" filled="t">
            <v:imagedata r:id="rId18" o:title=" "/>
          </v:shape>
        </w:pict>
      </w:r>
    </w:p>
    <w:p>
      <w:pPr>
        <w:spacing w:lineRule="exact" w:line="480" w:before="0" w:after="0"/>
        <w:ind w:right="6" w:firstLine="320"/>
        <w:rPr>
          <w:rFonts w:ascii="仿宋" w:eastAsia="仿宋" w:hAnsi="仿宋"/>
        </w:rPr>
      </w:pPr>
    </w:p>
    <w:p>
      <w:pPr>
        <w:spacing w:lineRule="exact" w:line="480" w:before="0" w:after="0"/>
        <w:ind w:right="6" w:firstLine="320"/>
        <w:rPr>
          <w:rFonts w:ascii="仿宋" w:eastAsia="仿宋" w:hAnsi="仿宋"/>
        </w:rPr>
      </w:pPr>
    </w:p>
    <w:p>
      <w:pPr>
        <w:spacing w:lineRule="exact" w:line="480" w:before="0" w:after="0"/>
        <w:ind w:right="6" w:firstLine="320"/>
        <w:rPr>
          <w:rFonts w:ascii="仿宋" w:eastAsia="仿宋" w:hAnsi="仿宋"/>
        </w:rPr>
      </w:pPr>
    </w:p>
    <w:p>
      <w:pPr>
        <w:spacing w:lineRule="exact" w:line="480" w:before="0" w:after="0"/>
        <w:ind w:right="6" w:firstLine="320"/>
        <w:rPr>
          <w:rFonts w:ascii="仿宋" w:eastAsia="仿宋" w:hAnsi="仿宋"/>
        </w:rPr>
      </w:pPr>
    </w:p>
    <w:p>
      <w:pPr>
        <w:spacing w:lineRule="exact" w:line="480" w:before="0" w:after="0"/>
        <w:ind w:right="6" w:firstLine="320"/>
        <w:rPr>
          <w:rFonts w:ascii="仿宋" w:eastAsia="仿宋" w:hAnsi="仿宋"/>
        </w:rPr>
      </w:pPr>
    </w:p>
    <w:p>
      <w:pPr>
        <w:pStyle w:val="PO9"/>
        <w:spacing w:lineRule="exact" w:line="480" w:before="0" w:after="0"/>
        <w:rPr/>
      </w:pPr>
      <w:r>
        <w:rPr/>
        <w:t xml:space="preserve">    </w:t>
      </w:r>
    </w:p>
    <w:p>
      <w:pPr>
        <w:pStyle w:val="PO9"/>
        <w:spacing w:lineRule="exact" w:line="480" w:before="0" w:after="0"/>
        <w:rPr>
          <w:sz w:val="28"/>
          <w:szCs w:val="28"/>
          <w:rFonts w:hint="eastAsia"/>
        </w:rPr>
      </w:pPr>
      <w:r>
        <w:rPr>
          <w:sz w:val="28"/>
          <w:szCs w:val="28"/>
          <w:rFonts w:hint="eastAsia"/>
        </w:rPr>
        <w:t xml:space="preserve">    </w:t>
      </w:r>
      <w:bookmarkStart w:id="20" w:name="_Toc530555726"/>
      <w:r>
        <w:rPr>
          <w:sz w:val="28"/>
          <w:szCs w:val="28"/>
          <w:rFonts w:hint="eastAsia"/>
        </w:rPr>
        <w:t>二、就业情况</w:t>
      </w:r>
      <w:bookmarkEnd w:id="20"/>
    </w:p>
    <w:p>
      <w:pPr>
        <w:jc w:val="both"/>
        <w:spacing w:lineRule="exact" w:line="480" w:after="0"/>
        <w:ind w:firstLine="630"/>
        <w:rPr>
          <w:sz w:val="28"/>
          <w:szCs w:val="28"/>
          <w:rFonts w:ascii="宋体" w:eastAsia="宋体" w:hAnsi="宋体" w:cs="宋体"/>
        </w:rPr>
        <w:autoSpaceDE w:val="0"/>
        <w:autoSpaceDN w:val="0"/>
      </w:pPr>
      <w:r>
        <w:rPr>
          <w:sz w:val="28"/>
          <w:szCs w:val="28"/>
          <w:rFonts w:ascii="宋体" w:eastAsia="宋体" w:hAnsi="宋体" w:cs="宋体"/>
        </w:rPr>
        <w:t>学院一直坚持以服务为宗旨，持续完善七位一体的就业工作体</w:t>
      </w:r>
      <w:r>
        <w:rPr>
          <w:sz w:val="28"/>
          <w:szCs w:val="28"/>
          <w:rFonts w:ascii="宋体" w:eastAsia="宋体" w:hAnsi="宋体" w:cs="宋体"/>
        </w:rPr>
        <w:t>系，不断提升学生就业率，自2008年至今，由承德市政府主办，学院</w:t>
      </w:r>
      <w:r>
        <w:rPr>
          <w:sz w:val="28"/>
          <w:szCs w:val="28"/>
          <w:rFonts w:ascii="宋体" w:eastAsia="宋体" w:hAnsi="宋体" w:cs="宋体"/>
        </w:rPr>
        <w:t>与承德人社局联合承办了6届承德市高教园区毕业生就业洽谈会，2届</w:t>
      </w:r>
      <w:r>
        <w:rPr>
          <w:sz w:val="28"/>
          <w:szCs w:val="28"/>
          <w:rFonts w:ascii="宋体" w:eastAsia="宋体" w:hAnsi="宋体" w:cs="宋体"/>
        </w:rPr>
        <w:t>全国大中城市联合招聘活动承德分会场，4届京津冀人才合作承德专</w:t>
      </w:r>
      <w:r>
        <w:rPr>
          <w:sz w:val="28"/>
          <w:szCs w:val="28"/>
          <w:rFonts w:ascii="宋体" w:eastAsia="宋体" w:hAnsi="宋体" w:cs="宋体"/>
        </w:rPr>
        <w:t>场，形成了“校企政联合打造校园民生工程，人才合作服务京津冀协</w:t>
      </w:r>
      <w:r>
        <w:rPr>
          <w:sz w:val="28"/>
          <w:szCs w:val="28"/>
          <w:rFonts w:ascii="宋体" w:eastAsia="宋体" w:hAnsi="宋体" w:cs="宋体"/>
        </w:rPr>
        <w:t>同发展”的品牌效应，提升学院学生就业率的同时，也为京津冀输入</w:t>
      </w:r>
      <w:r>
        <w:rPr>
          <w:sz w:val="28"/>
          <w:szCs w:val="28"/>
          <w:rFonts w:ascii="宋体" w:eastAsia="宋体" w:hAnsi="宋体" w:cs="宋体"/>
        </w:rPr>
        <w:t>了大批高技能人才。</w:t>
      </w:r>
    </w:p>
    <w:p>
      <w:pPr>
        <w:jc w:val="both"/>
        <w:spacing w:lineRule="exact" w:line="480"/>
        <w:ind w:firstLine="0"/>
        <w:rPr>
          <w:sz w:val="28"/>
          <w:szCs w:val="28"/>
          <w:rFonts w:ascii="宋体" w:eastAsia="宋体" w:hAnsi="宋体" w:cs="宋体"/>
        </w:rPr>
      </w:pPr>
      <w:r>
        <w:rPr>
          <w:sz w:val="20"/>
        </w:rPr>
        <w:drawing>
          <wp:anchor distT="0" distB="0" distL="114300" distR="114300" simplePos="0" relativeHeight="251624958" behindDoc="1" locked="0" layoutInCell="1" allowOverlap="1">
            <wp:simplePos x="0" y="0"/>
            <wp:positionH relativeFrom="column">
              <wp:posOffset>26675</wp:posOffset>
            </wp:positionH>
            <wp:positionV relativeFrom="paragraph">
              <wp:posOffset>207015</wp:posOffset>
            </wp:positionV>
            <wp:extent cx="5249545" cy="2776220"/>
            <wp:effectExtent l="0" t="0" r="0" b="0"/>
            <wp:wrapNone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HP/AppData/Roaming/JisuOffice/ETemp/76804_20043136/fImage43469540957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77685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jc w:val="both"/>
        <w:spacing w:lineRule="exact" w:line="480"/>
        <w:ind w:firstLine="480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firstLine="480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firstLine="480"/>
        <w:rPr>
          <w:sz w:val="28"/>
          <w:szCs w:val="28"/>
          <w:rFonts w:ascii="宋体" w:eastAsia="宋体" w:hAnsi="宋体" w:cs="宋体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  <w:r>
        <w:rPr>
          <w:sz w:val="20"/>
        </w:rPr>
        <w:drawing>
          <wp:anchor distT="0" distB="0" distL="114300" distR="114300" simplePos="0" relativeHeight="251624959" behindDoc="1" locked="0" layoutInCell="1" allowOverlap="1">
            <wp:simplePos x="0" y="0"/>
            <wp:positionH relativeFrom="column">
              <wp:posOffset>15245</wp:posOffset>
            </wp:positionH>
            <wp:positionV relativeFrom="paragraph">
              <wp:posOffset>287025</wp:posOffset>
            </wp:positionV>
            <wp:extent cx="5251450" cy="2477770"/>
            <wp:effectExtent l="0" t="0" r="0" b="0"/>
            <wp:wrapNone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HP/AppData/Roaming/JisuOffice/ETemp/76804_20043136/fImage340167414147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47840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</w:p>
    <w:p>
      <w:pPr>
        <w:spacing w:lineRule="exact" w:line="480" w:before="120" w:after="120"/>
        <w:ind w:right="6" w:firstLine="2088"/>
        <w:rPr>
          <w:b w:val="1"/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 xml:space="preserve">表13 近三年学生就业情况表</w:t>
      </w:r>
    </w:p>
    <w:tbl>
      <w:tblID w:val="0"/>
      <w:tblPr>
        <w:tblStyle w:val="PO37"/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786"/>
        <w:gridCol w:w="943"/>
        <w:gridCol w:w="3374"/>
        <w:gridCol w:w="1098"/>
        <w:gridCol w:w="1098"/>
        <w:gridCol w:w="1147"/>
      </w:tblGrid>
      <w:tr>
        <w:trPr>
          <w:trHeight w:hRule="atleast" w:val="353"/>
        </w:trPr>
        <w:tc>
          <w:tcPr>
            <w:tcW w:type="dxa" w:w="5103"/>
            <w:vAlign w:val="bottom"/>
            <w:gridSpan w:val="3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rFonts w:ascii="仿宋" w:eastAsia="仿宋" w:hAnsi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毕业生就业去向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rFonts w:ascii="仿宋" w:eastAsia="仿宋" w:hAnsi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2"/>
                <w:rFonts w:asciiTheme="minorEastAsia" w:eastAsiaTheme="minorEastAsia" w:hAnsiTheme="minorEastAsia"/>
              </w:rPr>
              <w:t>2</w:t>
            </w: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 xml:space="preserve">017 </w:t>
            </w:r>
            <w:r>
              <w:rPr>
                <w:b w:val="1"/>
                <w:color w:val="000000" w:themeColor="text1"/>
                <w:sz w:val="24"/>
                <w:szCs w:val="24"/>
                <w:w w:val="92"/>
                <w:rFonts w:asciiTheme="minorEastAsia" w:eastAsiaTheme="minorEastAsia" w:hAnsiTheme="minorEastAsia"/>
              </w:rPr>
              <w:t>年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rFonts w:ascii="仿宋" w:eastAsia="仿宋" w:hAnsi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2"/>
                <w:rFonts w:asciiTheme="minorEastAsia" w:eastAsiaTheme="minorEastAsia" w:hAnsiTheme="minorEastAsia"/>
              </w:rPr>
              <w:t>2018年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rFonts w:ascii="仿宋" w:eastAsia="仿宋" w:hAnsi="仿宋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2"/>
                <w:rFonts w:asciiTheme="minorEastAsia" w:eastAsiaTheme="minorEastAsia" w:hAnsiTheme="minorEastAsia"/>
              </w:rPr>
              <w:t xml:space="preserve">2019 年</w:t>
            </w:r>
          </w:p>
        </w:tc>
      </w:tr>
      <w:tr>
        <w:trPr>
          <w:trHeight w:hRule="atleast" w:val="353"/>
        </w:trPr>
        <w:tc>
          <w:tcPr>
            <w:tcW w:type="dxa" w:w="5103"/>
            <w:vAlign w:val="center"/>
            <w:gridSpan w:val="3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毕业生数（全日制）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1696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2042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2178</w:t>
            </w:r>
          </w:p>
        </w:tc>
      </w:tr>
      <w:tr>
        <w:trPr>
          <w:trHeight w:hRule="atleast" w:val="353"/>
        </w:trPr>
        <w:tc>
          <w:tcPr>
            <w:tcW w:type="dxa" w:w="5103"/>
            <w:vAlign w:val="center"/>
            <w:gridSpan w:val="3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毕业生直接升学数（全日制）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18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35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44</w:t>
            </w:r>
          </w:p>
        </w:tc>
      </w:tr>
      <w:tr>
        <w:trPr>
          <w:trHeight w:hRule="atleast" w:val="353"/>
        </w:trPr>
        <w:tc>
          <w:tcPr>
            <w:tcW w:type="dxa" w:w="786"/>
            <w:vAlign w:val="center"/>
            <w:vMerge w:val="restart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 w:hint="eastAsia"/>
              </w:rPr>
              <w:t>毕</w:t>
            </w:r>
          </w:p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 w:hint="eastAsia"/>
              </w:rPr>
              <w:t>业</w:t>
            </w:r>
          </w:p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 w:hint="eastAsia"/>
              </w:rPr>
              <w:t>生</w:t>
            </w:r>
          </w:p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 w:hint="eastAsia"/>
              </w:rPr>
              <w:t>就</w:t>
            </w:r>
          </w:p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 w:hint="eastAsia"/>
              </w:rPr>
              <w:t>业</w:t>
            </w:r>
          </w:p>
        </w:tc>
        <w:tc>
          <w:tcPr>
            <w:tcW w:type="dxa" w:w="4317"/>
            <w:vAlign w:val="center"/>
            <w:gridSpan w:val="2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直接就业数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1626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1964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2077</w:t>
            </w:r>
          </w:p>
        </w:tc>
      </w:tr>
      <w:tr>
        <w:trPr>
          <w:trHeight w:hRule="atleast" w:val="353"/>
        </w:trPr>
        <w:tc>
          <w:tcPr>
            <w:tcW w:type="dxa" w:w="786"/>
            <w:vAlign w:val="center"/>
            <w:vMerge/>
          </w:tcPr>
          <w:p/>
        </w:tc>
        <w:tc>
          <w:tcPr>
            <w:tcW w:type="dxa" w:w="943"/>
            <w:vAlign w:val="center"/>
            <w:vMerge w:val="restart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 w:hint="eastAsia"/>
              </w:rPr>
              <w:t>其</w:t>
            </w:r>
          </w:p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 w:hint="eastAsia"/>
              </w:rPr>
              <w:t>中</w:t>
            </w:r>
          </w:p>
        </w:tc>
        <w:tc>
          <w:tcPr>
            <w:tcW w:type="dxa" w:w="3374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自主创业数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0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2</w:t>
            </w:r>
          </w:p>
        </w:tc>
      </w:tr>
      <w:tr>
        <w:trPr>
          <w:trHeight w:hRule="atleast" w:val="353"/>
        </w:trPr>
        <w:tc>
          <w:tcPr>
            <w:tcW w:type="dxa" w:w="786"/>
            <w:vAlign w:val="center"/>
            <w:vMerge/>
          </w:tcPr>
          <w:p/>
        </w:tc>
        <w:tc>
          <w:tcPr>
            <w:tcW w:type="dxa" w:w="943"/>
            <w:vAlign w:val="center"/>
            <w:vMerge/>
          </w:tcPr>
          <w:p/>
        </w:tc>
        <w:tc>
          <w:tcPr>
            <w:tcW w:type="dxa" w:w="3374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当地就业数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auto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</w:pPr>
            <w:r>
              <w:rPr>
                <w:color w:val="auto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373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auto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</w:pPr>
            <w:r>
              <w:rPr>
                <w:color w:val="auto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1641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auto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</w:pPr>
            <w:r>
              <w:rPr>
                <w:color w:val="auto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1036</w:t>
            </w:r>
          </w:p>
        </w:tc>
      </w:tr>
      <w:tr>
        <w:trPr>
          <w:trHeight w:hRule="atleast" w:val="353"/>
        </w:trPr>
        <w:tc>
          <w:tcPr>
            <w:tcW w:type="dxa" w:w="786"/>
            <w:vAlign w:val="center"/>
            <w:vMerge/>
          </w:tcPr>
          <w:p/>
        </w:tc>
        <w:tc>
          <w:tcPr>
            <w:tcW w:type="dxa" w:w="943"/>
            <w:vAlign w:val="center"/>
            <w:vMerge/>
          </w:tcPr>
          <w:p/>
        </w:tc>
        <w:tc>
          <w:tcPr>
            <w:tcW w:type="dxa" w:w="3374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中小微及基层就业数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611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740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784</w:t>
            </w:r>
          </w:p>
        </w:tc>
      </w:tr>
      <w:tr>
        <w:trPr>
          <w:trHeight w:hRule="atleast" w:val="512"/>
        </w:trPr>
        <w:tc>
          <w:tcPr>
            <w:tcW w:type="dxa" w:w="786"/>
            <w:vAlign w:val="center"/>
            <w:vMerge/>
          </w:tcPr>
          <w:p/>
        </w:tc>
        <w:tc>
          <w:tcPr>
            <w:tcW w:type="dxa" w:w="943"/>
            <w:vAlign w:val="center"/>
            <w:vMerge/>
          </w:tcPr>
          <w:p/>
        </w:tc>
        <w:tc>
          <w:tcPr>
            <w:tcW w:type="dxa" w:w="3374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6"/>
                <w:rFonts w:asciiTheme="minorEastAsia" w:eastAsiaTheme="minorEastAsia" w:hAnsiTheme="minorEastAsia"/>
              </w:rPr>
              <w:t xml:space="preserve">500 强企业就业数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36</w:t>
            </w:r>
          </w:p>
        </w:tc>
        <w:tc>
          <w:tcPr>
            <w:tcW w:type="dxa" w:w="1098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41</w:t>
            </w:r>
          </w:p>
        </w:tc>
        <w:tc>
          <w:tcPr>
            <w:tcW w:type="dxa" w:w="1147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 w:hint="eastAsia"/>
              </w:rPr>
              <w:t>44</w:t>
            </w:r>
          </w:p>
        </w:tc>
      </w:tr>
    </w:tbl>
    <w:p>
      <w:pPr>
        <w:jc w:val="both"/>
        <w:spacing w:lineRule="exact" w:line="480"/>
        <w:ind w:firstLine="2400"/>
        <w:rPr>
          <w:sz w:val="28"/>
          <w:szCs w:val="28"/>
          <w:rFonts w:ascii="宋体" w:eastAsia="宋体" w:hAnsi="宋体" w:cs="宋体"/>
        </w:rPr>
      </w:pPr>
      <w:r>
        <w:rPr>
          <w:b w:val="1"/>
          <w:rFonts w:ascii="仿宋" w:eastAsia="仿宋" w:hAnsi="仿宋" w:hint="eastAsia"/>
        </w:rPr>
        <w:t>表14各专业当地就业生人数</w:t>
      </w:r>
    </w:p>
    <w:p>
      <w:pPr>
        <w:jc w:val="center"/>
        <w:spacing w:lineRule="exact" w:line="480" w:before="0" w:after="0"/>
        <w:ind w:firstLine="0"/>
        <w:rPr>
          <w:b w:val="1"/>
          <w:rFonts w:ascii="仿宋" w:eastAsia="仿宋" w:hAnsi="仿宋" w:hint="eastAsia"/>
        </w:rPr>
      </w:pPr>
    </w:p>
    <w:tbl>
      <w:tblID w:val="0"/>
      <w:tblPr>
        <w:tblStyle w:val="PO37"/>
        <w:tblCellMar>
          <w:left w:w="108" w:type="dxa"/>
          <w:top w:w="0" w:type="dxa"/>
          <w:right w:w="108" w:type="dxa"/>
          <w:bottom w:w="0" w:type="dxa"/>
        </w:tblCellMar>
        <w:tblW w:w="8555" w:type="dxa"/>
        <w:tblLook w:val="0004A0" w:firstRow="1" w:lastRow="0" w:firstColumn="1" w:lastColumn="0" w:noHBand="0" w:noVBand="1"/>
        <w:tblLayout w:type="fixed"/>
      </w:tblPr>
      <w:tblGrid>
        <w:gridCol w:w="871"/>
        <w:gridCol w:w="3861"/>
        <w:gridCol w:w="1457"/>
        <w:gridCol w:w="2366"/>
      </w:tblGrid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序号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专业名称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专业代码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当地就业数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导游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131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旅行社经营管理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640103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43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园林技术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510202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园林工程技术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540106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营养配餐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640203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21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烹调工艺与营养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640202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国际邮轮乘务管理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600302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34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8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酒店管理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640105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77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中草药栽培技术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510110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绿色食品生产与检验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510114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11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机械制造与自动化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560102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应用电子技术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610102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13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机电一体化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560301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14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旅游英语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670204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应用韩语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670208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46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16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人物形象设计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650122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12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17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商务日语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670205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18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会计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630302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197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19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金融管理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630302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财务管理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630301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21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畜牧兽医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510301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22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动物医学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52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24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宠物养护与训导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510306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7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25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电子商务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630801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62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26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市场营销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630701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51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27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物流管理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630903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28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计算机应用技术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610201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59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29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计算机网络技术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42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30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数字媒体应用技术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610210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10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31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旅游管理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610215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62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32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空中乘务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600405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11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33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数字媒体艺术设计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650104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15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34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室内艺术设计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651109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9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35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视觉传播设计与制作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650102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6</w:t>
            </w:r>
          </w:p>
        </w:tc>
      </w:tr>
      <w:tr>
        <w:trPr/>
        <w:tc>
          <w:tcPr>
            <w:tcW w:type="dxa" w:w="87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36</w:t>
            </w:r>
          </w:p>
        </w:tc>
        <w:tc>
          <w:tcPr>
            <w:tcW w:type="dxa" w:w="3861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建筑工程技术</w:t>
            </w:r>
          </w:p>
        </w:tc>
        <w:tc>
          <w:tcPr>
            <w:tcW w:type="dxa" w:w="1457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540301</w:t>
            </w:r>
          </w:p>
        </w:tc>
        <w:tc>
          <w:tcPr>
            <w:tcW w:type="dxa" w:w="2366"/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13</w:t>
            </w:r>
          </w:p>
        </w:tc>
      </w:tr>
    </w:tbl>
    <w:p>
      <w:pPr>
        <w:pStyle w:val="PO1"/>
        <w:rPr>
          <w:rStyle w:val="PO1"/>
        </w:rPr>
      </w:pPr>
    </w:p>
    <w:p>
      <w:pPr>
        <w:spacing w:lineRule="exact" w:line="480" w:before="120" w:after="120"/>
        <w:ind w:right="6" w:firstLine="0"/>
        <w:rPr>
          <w:b w:val="1"/>
          <w:rFonts w:ascii="仿宋" w:eastAsia="仿宋" w:hAnsi="仿宋" w:hint="eastAsia"/>
        </w:rPr>
      </w:pPr>
    </w:p>
    <w:p>
      <w:pPr>
        <w:jc w:val="both"/>
        <w:spacing w:lineRule="exact" w:line="480"/>
        <w:ind w:firstLine="2400"/>
        <w:rPr>
          <w:b w:val="1"/>
          <w:rFonts w:ascii="仿宋" w:eastAsia="仿宋" w:hAnsi="仿宋" w:hint="eastAsia"/>
        </w:rPr>
      </w:pPr>
      <w:r>
        <w:rPr>
          <w:b w:val="1"/>
          <w:rFonts w:ascii="仿宋" w:eastAsia="仿宋" w:hAnsi="仿宋" w:hint="eastAsia"/>
        </w:rPr>
        <w:t xml:space="preserve">表15 2017-2019学生京津冀就业人数表</w:t>
      </w:r>
    </w:p>
    <w:tbl>
      <w:tblID w:val="0"/>
      <w:tblPr>
        <w:tblStyle w:val="PO37"/>
        <w:tblCellMar>
          <w:left w:w="108" w:type="dxa"/>
          <w:top w:w="0" w:type="dxa"/>
          <w:right w:w="108" w:type="dxa"/>
          <w:bottom w:w="0" w:type="dxa"/>
        </w:tblCellMar>
        <w:tblW w:w="8424" w:type="dxa"/>
        <w:tblInd w:w="23" w:type="dxa"/>
        <w:tblLook w:val="0004A0" w:firstRow="1" w:lastRow="0" w:firstColumn="1" w:lastColumn="0" w:noHBand="0" w:noVBand="1"/>
        <w:tblLayout w:type="fixed"/>
      </w:tblPr>
      <w:tblGrid>
        <w:gridCol w:w="2106"/>
        <w:gridCol w:w="2106"/>
        <w:gridCol w:w="2106"/>
        <w:gridCol w:w="2106"/>
      </w:tblGrid>
      <w:tr>
        <w:trPr>
          <w:trHeight w:hRule="atleast" w:val="771"/>
        </w:trPr>
        <w:tc>
          <w:tcPr>
            <w:tcW w:type="dxa" w:w="2106"/>
            <w:vAlign w:val="top"/>
          </w:tcPr>
          <w:p>
            <w:pPr>
              <w:jc w:val="both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4978" behindDoc="0" locked="0" layoutInCell="1" allowOverlap="1">
                      <wp:simplePos x="0" y="0"/>
                      <wp:positionH relativeFrom="column">
                        <wp:posOffset>-52074</wp:posOffset>
                      </wp:positionH>
                      <wp:positionV relativeFrom="paragraph">
                        <wp:posOffset>69220</wp:posOffset>
                      </wp:positionV>
                      <wp:extent cx="1304290" cy="414020"/>
                      <wp:effectExtent l="9525" t="9525" r="9525" b="9525"/>
                      <wp:wrapNone/>
                      <wp:docPr id="48" name="形状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195" cy="415925"/>
                              </a:xfrm>
                              <a:prstGeom prst="straightConnector1"/>
                              <a:ln cap="flat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      <a:prstTxWarp prst="textNoShape"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48" style="position:absolute;left:0;margin-left:-4pt;mso-position-horizontal:absolute;mso-position-horizontal-relative:text;margin-top:5pt;mso-position-vertical:absolute;mso-position-vertical-relative:text;width:102.8pt;height:32.7pt;v-text-anchor:middle;z-index:251624978" coordsize="1305560,415290" path="m,l1305560,415290e" strokecolor="black" o:allowoverlap="1" strokeweight="0.75pt" filled="f"/>
                  </w:pict>
                </mc:Fallback>
              </mc:AlternateContent>
            </w: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 xml:space="preserve">         年份</w:t>
            </w:r>
          </w:p>
          <w:p>
            <w:pPr>
              <w:jc w:val="both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就业区域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2017年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2018年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b w:val="1"/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2019年</w:t>
            </w:r>
          </w:p>
        </w:tc>
      </w:tr>
      <w:tr>
        <w:trPr>
          <w:trHeight w:hRule="atleast" w:val="593"/>
        </w:trPr>
        <w:tc>
          <w:tcPr>
            <w:tcW w:type="dxa" w:w="210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北京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516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25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775</w:t>
            </w:r>
          </w:p>
        </w:tc>
      </w:tr>
      <w:tr>
        <w:trPr>
          <w:trHeight w:hRule="atleast" w:val="593"/>
        </w:trPr>
        <w:tc>
          <w:tcPr>
            <w:tcW w:type="dxa" w:w="210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天津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35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1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65</w:t>
            </w:r>
          </w:p>
        </w:tc>
      </w:tr>
      <w:tr>
        <w:trPr>
          <w:trHeight w:hRule="atleast" w:val="593"/>
        </w:trPr>
        <w:tc>
          <w:tcPr>
            <w:tcW w:type="dxa" w:w="2106"/>
            <w:vAlign w:val="center"/>
          </w:tcPr>
          <w:p>
            <w:pPr>
              <w:jc w:val="center"/>
              <w:spacing w:lineRule="atLeast" w:line="0"/>
              <w:ind w:right="6" w:firstLine="0"/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</w:pPr>
            <w:r>
              <w:rPr>
                <w:color w:val="000000" w:themeColor="text1"/>
                <w:sz w:val="24"/>
                <w:szCs w:val="24"/>
                <w:w w:val="99"/>
                <w:rFonts w:asciiTheme="minorEastAsia" w:eastAsiaTheme="minorEastAsia" w:hAnsiTheme="minorEastAsia"/>
              </w:rPr>
              <w:t>河北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948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1641</w:t>
            </w:r>
          </w:p>
        </w:tc>
        <w:tc>
          <w:tcPr>
            <w:tcW w:type="dxa" w:w="2106"/>
            <w:vAlign w:val="center"/>
          </w:tcPr>
          <w:p>
            <w:pPr>
              <w:jc w:val="center"/>
              <w:spacing w:lineRule="exact" w:line="480"/>
              <w:ind w:left="0" w:right="0" w:firstLine="0"/>
              <w:rPr>
                <w:sz w:val="24"/>
                <w:szCs w:val="24"/>
                <w:rFonts w:ascii="宋体" w:eastAsia="宋体" w:hAnsi="宋体" w:cs="宋体" w:hint="eastAsia"/>
              </w:rPr>
            </w:pPr>
            <w:r>
              <w:rPr>
                <w:sz w:val="24"/>
                <w:szCs w:val="24"/>
                <w:rFonts w:ascii="宋体" w:eastAsia="宋体" w:hAnsi="宋体" w:cs="宋体" w:hint="eastAsia"/>
              </w:rPr>
              <w:t>1036</w:t>
            </w:r>
          </w:p>
        </w:tc>
      </w:tr>
    </w:tbl>
    <w:p>
      <w:pPr>
        <w:spacing w:lineRule="exact" w:line="480"/>
        <w:ind w:right="6" w:firstLine="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640"/>
        <w:rPr>
          <w:color w:val="auto"/>
          <w:sz w:val="28"/>
          <w:szCs w:val="28"/>
          <w:rFonts w:ascii="宋体" w:eastAsia="宋体" w:hAnsi="宋体" w:cs="宋体" w:hint="eastAsia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49" type="#_x0000_t75" style="position:absolute;left:0;margin-left:0pt;mso-position-horizontal:absolute;mso-position-horizontal-relative:text;margin-top:8pt;mso-position-vertical:absolute;mso-position-vertical-relative:text;width:425.3pt;height:178.7pt;z-index:-251624974" filled="t">
            <v:imagedata r:id="rId21" o:title=" "/>
          </v:shape>
        </w:pict>
      </w:r>
    </w:p>
    <w:p>
      <w:pPr>
        <w:spacing w:lineRule="exact" w:line="480"/>
        <w:ind w:right="6" w:firstLine="64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64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64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64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28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280"/>
        <w:rPr>
          <w:color w:val="auto"/>
          <w:sz w:val="28"/>
          <w:szCs w:val="28"/>
          <w:rFonts w:ascii="宋体" w:eastAsia="宋体" w:hAnsi="宋体" w:cs="宋体" w:hint="eastAsia"/>
        </w:rPr>
      </w:pPr>
    </w:p>
    <w:p>
      <w:pPr>
        <w:spacing w:lineRule="exact" w:line="480"/>
        <w:ind w:right="6" w:firstLine="560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 w:hint="eastAsia"/>
        </w:rPr>
        <w:t>从近三年学生就业情况看，学生选择直接升学数量不多、选择创业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人数很少，大部分选择直接就业，选择京津冀地区就业人数较多，进</w:t>
      </w:r>
      <w:r>
        <w:rPr>
          <w:color w:val="auto"/>
          <w:sz w:val="28"/>
          <w:szCs w:val="28"/>
          <w:rFonts w:ascii="宋体" w:eastAsia="宋体" w:hAnsi="宋体" w:cs="宋体" w:hint="eastAsia"/>
        </w:rPr>
        <w:t>入中小微及基层比例居高，进入500强企业就业人数不多。</w:t>
      </w:r>
    </w:p>
    <w:p>
      <w:pPr>
        <w:pStyle w:val="PO9"/>
        <w:spacing w:lineRule="exact" w:line="480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 xml:space="preserve">    </w:t>
      </w:r>
      <w:bookmarkStart w:id="21" w:name="_Toc530555727"/>
      <w:r>
        <w:rPr>
          <w:color w:val="auto"/>
          <w:sz w:val="28"/>
          <w:szCs w:val="28"/>
          <w:rFonts w:ascii="宋体" w:eastAsia="宋体" w:hAnsi="宋体" w:cs="宋体" w:hint="eastAsia"/>
        </w:rPr>
        <w:t>三、</w:t>
      </w:r>
      <w:r>
        <w:rPr>
          <w:color w:val="auto"/>
          <w:sz w:val="28"/>
          <w:szCs w:val="28"/>
          <w:rFonts w:ascii="宋体" w:eastAsia="宋体" w:hAnsi="宋体" w:cs="宋体"/>
        </w:rPr>
        <w:t>毕业生职业资格证书获取率</w:t>
      </w:r>
      <w:bookmarkEnd w:id="21"/>
    </w:p>
    <w:p>
      <w:pPr>
        <w:jc w:val="left"/>
        <w:spacing w:lineRule="exact" w:line="480"/>
        <w:ind w:firstLine="640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>一直以来，为提升学生就业竞争力，学院积极推行职业资格证</w:t>
      </w:r>
      <w:r>
        <w:rPr>
          <w:color w:val="auto"/>
          <w:sz w:val="28"/>
          <w:szCs w:val="28"/>
          <w:rFonts w:ascii="宋体" w:eastAsia="宋体" w:hAnsi="宋体" w:cs="宋体"/>
        </w:rPr>
        <w:t>书制度、促进专业教学改革，鼓励学生参加国家职业资格考试，培</w:t>
      </w:r>
      <w:r>
        <w:rPr>
          <w:color w:val="auto"/>
          <w:sz w:val="28"/>
          <w:szCs w:val="28"/>
          <w:rFonts w:ascii="宋体" w:eastAsia="宋体" w:hAnsi="宋体" w:cs="宋体"/>
        </w:rPr>
        <w:t>养学生的实践和动手能力，将专业学习与实践能力、技能培训、考</w:t>
      </w:r>
      <w:r>
        <w:rPr>
          <w:color w:val="auto"/>
          <w:sz w:val="28"/>
          <w:szCs w:val="28"/>
          <w:rFonts w:ascii="宋体" w:eastAsia="宋体" w:hAnsi="宋体" w:cs="宋体"/>
        </w:rPr>
        <w:t>核、考证相结合，使学生学习系统专业课程的同时，获得职业技能</w:t>
      </w:r>
      <w:r>
        <w:rPr>
          <w:color w:val="auto"/>
          <w:sz w:val="28"/>
          <w:szCs w:val="28"/>
          <w:rFonts w:ascii="宋体" w:eastAsia="宋体" w:hAnsi="宋体" w:cs="宋体"/>
        </w:rPr>
        <w:t>证书，成为证书学历+职业资格证书的高技能人才。</w:t>
      </w:r>
    </w:p>
    <w:p>
      <w:pPr>
        <w:jc w:val="left"/>
        <w:spacing w:lineRule="exact" w:line="480"/>
        <w:ind w:firstLine="640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>2019年，为进一步推动“1+X”证书制度建设，学院专门召开</w:t>
      </w:r>
      <w:r>
        <w:rPr>
          <w:color w:val="auto"/>
          <w:sz w:val="28"/>
          <w:szCs w:val="28"/>
          <w:rFonts w:ascii="宋体" w:eastAsia="宋体" w:hAnsi="宋体" w:cs="宋体"/>
        </w:rPr>
        <w:t>研讨会议，针对目前社会上滥发证书、学校课程体系书证不互通、</w:t>
      </w:r>
      <w:r>
        <w:rPr>
          <w:color w:val="auto"/>
          <w:sz w:val="28"/>
          <w:szCs w:val="28"/>
          <w:rFonts w:ascii="宋体" w:eastAsia="宋体" w:hAnsi="宋体" w:cs="宋体"/>
        </w:rPr>
        <w:t>双师队伍缺乏等情况进行探讨，首先对职业资格证书对于高职院校</w:t>
      </w:r>
      <w:r>
        <w:rPr>
          <w:color w:val="auto"/>
          <w:sz w:val="28"/>
          <w:szCs w:val="28"/>
          <w:rFonts w:ascii="宋体" w:eastAsia="宋体" w:hAnsi="宋体" w:cs="宋体"/>
        </w:rPr>
        <w:t>及学生的意义进行了确认，之后，制定了学院职业资格证书相关制</w:t>
      </w:r>
      <w:r>
        <w:rPr>
          <w:color w:val="auto"/>
          <w:sz w:val="28"/>
          <w:szCs w:val="28"/>
          <w:rFonts w:ascii="宋体" w:eastAsia="宋体" w:hAnsi="宋体" w:cs="宋体"/>
        </w:rPr>
        <w:t>度，构建了学院职业资格证书体系，即将国家保留的职业资格证书</w:t>
      </w:r>
      <w:r>
        <w:rPr>
          <w:color w:val="auto"/>
          <w:sz w:val="28"/>
          <w:szCs w:val="28"/>
          <w:rFonts w:ascii="宋体" w:eastAsia="宋体" w:hAnsi="宋体" w:cs="宋体"/>
        </w:rPr>
        <w:t>（如导游证）、教育部1+X试点证书、行业内认可度高的证书（如</w:t>
      </w:r>
      <w:r>
        <w:rPr>
          <w:color w:val="auto"/>
          <w:sz w:val="28"/>
          <w:szCs w:val="28"/>
          <w:rFonts w:ascii="宋体" w:eastAsia="宋体" w:hAnsi="宋体" w:cs="宋体"/>
        </w:rPr>
        <w:t>茶艺师证书）、国际上认可度大的证书（如酒店3A英语证书）、和</w:t>
      </w:r>
      <w:r>
        <w:rPr>
          <w:color w:val="auto"/>
          <w:sz w:val="28"/>
          <w:szCs w:val="28"/>
          <w:rFonts w:ascii="宋体" w:eastAsia="宋体" w:hAnsi="宋体" w:cs="宋体"/>
        </w:rPr>
        <w:t>学院认证（学院自己制定标准的证书）的证书体系，列入人才培养</w:t>
      </w:r>
      <w:r>
        <w:rPr>
          <w:color w:val="auto"/>
          <w:sz w:val="28"/>
          <w:szCs w:val="28"/>
          <w:rFonts w:ascii="宋体" w:eastAsia="宋体" w:hAnsi="宋体" w:cs="宋体"/>
        </w:rPr>
        <w:t>方案，并要求各专业将职业技能等级标准有关内容及要求有机融入</w:t>
      </w:r>
      <w:r>
        <w:rPr>
          <w:color w:val="auto"/>
          <w:sz w:val="28"/>
          <w:szCs w:val="28"/>
          <w:rFonts w:ascii="宋体" w:eastAsia="宋体" w:hAnsi="宋体" w:cs="宋体"/>
        </w:rPr>
        <w:t>专业课程教学，促进书证融合，优化专业人才培养方案；其次根据</w:t>
      </w:r>
      <w:r>
        <w:rPr>
          <w:color w:val="auto"/>
          <w:sz w:val="28"/>
          <w:szCs w:val="28"/>
          <w:rFonts w:ascii="宋体" w:eastAsia="宋体" w:hAnsi="宋体" w:cs="宋体"/>
        </w:rPr>
        <w:t>学院专业优势，打造职业资格证书培训基地，如我院已成为亲子猫</w:t>
      </w:r>
      <w:r>
        <w:rPr>
          <w:color w:val="auto"/>
          <w:sz w:val="28"/>
          <w:szCs w:val="28"/>
          <w:rFonts w:ascii="宋体" w:eastAsia="宋体" w:hAnsi="宋体" w:cs="宋体"/>
        </w:rPr>
        <w:t>（北京）国际教育科技有限公司研学旅行策划与管理（EEPM）职业</w:t>
      </w:r>
      <w:r>
        <w:rPr>
          <w:color w:val="auto"/>
          <w:sz w:val="28"/>
          <w:szCs w:val="28"/>
          <w:rFonts w:ascii="宋体" w:eastAsia="宋体" w:hAnsi="宋体" w:cs="宋体"/>
        </w:rPr>
        <w:t>技能等级标准河北省牵头院校、名将宠美教育科技（北京）有限公</w:t>
      </w:r>
      <w:r>
        <w:rPr>
          <w:color w:val="auto"/>
          <w:sz w:val="28"/>
          <w:szCs w:val="28"/>
          <w:rFonts w:ascii="宋体" w:eastAsia="宋体" w:hAnsi="宋体" w:cs="宋体"/>
        </w:rPr>
        <w:t>司宠物护理与美容1+x证书职业技能等级标准河北省牵头院校等；</w:t>
      </w:r>
      <w:r>
        <w:rPr>
          <w:color w:val="auto"/>
          <w:sz w:val="28"/>
          <w:szCs w:val="28"/>
          <w:rFonts w:ascii="宋体" w:eastAsia="宋体" w:hAnsi="宋体" w:cs="宋体"/>
        </w:rPr>
        <w:t>并根据岗位需求，扩大职业资格证书范围，我院7个系1850名学生</w:t>
      </w:r>
      <w:r>
        <w:rPr>
          <w:color w:val="auto"/>
          <w:sz w:val="28"/>
          <w:szCs w:val="28"/>
          <w:rFonts w:ascii="宋体" w:eastAsia="宋体" w:hAnsi="宋体" w:cs="宋体"/>
        </w:rPr>
        <w:t>在教育部平台上申报了13种职业技能等级证书；第三，加大职业资</w:t>
      </w:r>
      <w:r>
        <w:rPr>
          <w:color w:val="auto"/>
          <w:sz w:val="28"/>
          <w:szCs w:val="28"/>
          <w:rFonts w:ascii="宋体" w:eastAsia="宋体" w:hAnsi="宋体" w:cs="宋体"/>
        </w:rPr>
        <w:t>格证书师资队伍建设，除聘请企业技术人员担任兼职教师外，也加</w:t>
      </w:r>
      <w:r>
        <w:rPr>
          <w:color w:val="auto"/>
          <w:sz w:val="28"/>
          <w:szCs w:val="28"/>
          <w:rFonts w:ascii="宋体" w:eastAsia="宋体" w:hAnsi="宋体" w:cs="宋体"/>
        </w:rPr>
        <w:t>大了学院专职教师培训力度，如信息技术系组织14名教师参加web</w:t>
      </w:r>
      <w:r>
        <w:rPr>
          <w:color w:val="auto"/>
          <w:sz w:val="28"/>
          <w:szCs w:val="28"/>
          <w:rFonts w:ascii="宋体" w:eastAsia="宋体" w:hAnsi="宋体" w:cs="宋体"/>
        </w:rPr>
        <w:t>前端、电子商务网店运营推广、电子商务数据分析、物流管理职业</w:t>
      </w:r>
      <w:r>
        <w:rPr>
          <w:color w:val="auto"/>
          <w:sz w:val="28"/>
          <w:szCs w:val="28"/>
          <w:rFonts w:ascii="宋体" w:eastAsia="宋体" w:hAnsi="宋体" w:cs="宋体"/>
        </w:rPr>
        <w:t>技能培训，4名教师成为考评员。第四，加大职业资格证书宣传力</w:t>
      </w:r>
      <w:r>
        <w:rPr>
          <w:color w:val="auto"/>
          <w:sz w:val="28"/>
          <w:szCs w:val="28"/>
          <w:rFonts w:ascii="宋体" w:eastAsia="宋体" w:hAnsi="宋体" w:cs="宋体"/>
        </w:rPr>
        <w:t>度，让学生认识到职业资格证书的重要性，近三年职业资格证书获</w:t>
      </w:r>
      <w:r>
        <w:rPr>
          <w:color w:val="auto"/>
          <w:sz w:val="28"/>
          <w:szCs w:val="28"/>
          <w:rFonts w:ascii="宋体" w:eastAsia="宋体" w:hAnsi="宋体" w:cs="宋体"/>
        </w:rPr>
        <w:t>取人数逐年增加。</w:t>
      </w:r>
    </w:p>
    <w:p>
      <w:pPr>
        <w:jc w:val="center"/>
        <w:overflowPunct w:val="0"/>
        <w:ind w:firstLine="560"/>
        <w:rPr>
          <w:rFonts w:ascii="仿宋" w:eastAsia="仿宋" w:hAnsi="仿宋"/>
        </w:rPr>
      </w:pPr>
      <w:r>
        <w:rPr>
          <w:b w:val="1"/>
          <w:rFonts w:ascii="仿宋" w:eastAsia="仿宋" w:hAnsi="仿宋" w:hint="eastAsia"/>
        </w:rPr>
        <w:t>表16</w:t>
      </w:r>
      <w:r>
        <w:rPr>
          <w:b w:val="1"/>
          <w:sz w:val="30"/>
          <w:szCs w:val="30"/>
          <w:rFonts w:ascii="仿宋" w:eastAsia="仿宋" w:hAnsi="仿宋"/>
        </w:rPr>
        <w:t>近三年毕业生资格证书</w:t>
      </w:r>
      <w:r>
        <w:rPr>
          <w:b w:val="1"/>
          <w:sz w:val="30"/>
          <w:szCs w:val="30"/>
          <w:rFonts w:ascii="仿宋" w:eastAsia="仿宋" w:hAnsi="仿宋" w:hint="eastAsia"/>
        </w:rPr>
        <w:t>获取情况</w:t>
      </w:r>
    </w:p>
    <w:tbl>
      <w:tblID w:val="0"/>
      <w:tblPr>
        <w:tblpPr w:vertAnchor="text" w:tblpX="-45" w:tblpY="210"/>
        <w:tblCellMar>
          <w:left w:w="0" w:type="dxa"/>
          <w:top w:w="0" w:type="dxa"/>
          <w:right w:w="0" w:type="dxa"/>
          <w:bottom w:w="0" w:type="dxa"/>
        </w:tblCellMar>
        <w:tblW w:w="8227" w:type="dxa"/>
        <w:tblLook w:val="000000" w:firstRow="0" w:lastRow="0" w:firstColumn="0" w:lastColumn="0" w:noHBand="0" w:noVBand="0"/>
        <w:tblLayout w:type="fixed"/>
      </w:tblPr>
      <w:tblGrid>
        <w:gridCol w:w="3678"/>
        <w:gridCol w:w="1433"/>
        <w:gridCol w:w="1558"/>
        <w:gridCol w:w="1558"/>
      </w:tblGrid>
      <w:tr>
        <w:trPr>
          <w:trHeight w:hRule="atleast" w:val="583"/>
        </w:trPr>
        <w:tc>
          <w:tcPr>
            <w:tcW w:type="dxa" w:w="3678"/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</w:pPr>
            <w:r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  <w:t>项目</w:t>
            </w:r>
          </w:p>
        </w:tc>
        <w:tc>
          <w:tcPr>
            <w:tcW w:type="dxa" w:w="1433"/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</w:pPr>
            <w:r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  <w:t>2017年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</w:pPr>
            <w:r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  <w:t>2018年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</w:pPr>
            <w:r>
              <w:rPr>
                <w:b w:val="1"/>
                <w:color w:val="auto"/>
                <w:sz w:val="24"/>
                <w:szCs w:val="24"/>
                <w:w w:val="92"/>
                <w:rFonts w:ascii="宋体" w:eastAsia="宋体" w:hAnsi="宋体" w:cs="宋体"/>
              </w:rPr>
              <w:t>2019年</w:t>
            </w:r>
          </w:p>
        </w:tc>
      </w:tr>
      <w:tr>
        <w:trPr>
          <w:trHeight w:hRule="atleast" w:val="525"/>
        </w:trPr>
        <w:tc>
          <w:tcPr>
            <w:tcW w:type="dxa" w:w="3678"/>
            <w:vAlign w:val="center"/>
            <w:tcBorders>
              <w:bottom w:val="single" w:color="auto" w:sz="8"/>
              <w:left w:val="single" w:color="auto" w:sz="4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rPr>
                <w:color w:val="auto"/>
                <w:sz w:val="24"/>
                <w:szCs w:val="24"/>
                <w:w w:val="92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2"/>
                <w:rFonts w:ascii="宋体" w:eastAsia="宋体" w:hAnsi="宋体" w:cs="宋体"/>
              </w:rPr>
              <w:t>毕业生数</w:t>
            </w:r>
          </w:p>
        </w:tc>
        <w:tc>
          <w:tcPr>
            <w:tcW w:type="dxa" w:w="1433"/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1696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2042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left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2178</w:t>
            </w:r>
          </w:p>
        </w:tc>
      </w:tr>
      <w:tr>
        <w:trPr>
          <w:trHeight w:hRule="atleast" w:val="747"/>
        </w:trPr>
        <w:tc>
          <w:tcPr>
            <w:tcW w:type="dxa" w:w="3678"/>
            <w:vAlign w:val="center"/>
            <w:tcBorders>
              <w:bottom w:val="single" w:color="auto" w:sz="8"/>
              <w:left w:val="single" w:color="000000" w:sz="4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职业技能等级证书及职业资格</w:t>
            </w: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证书获得数（中、高级）</w:t>
            </w:r>
          </w:p>
        </w:tc>
        <w:tc>
          <w:tcPr>
            <w:tcW w:type="dxa" w:w="1433"/>
            <w:vAlign w:val="center"/>
            <w:tcBorders>
              <w:bottom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478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84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800</w:t>
            </w:r>
          </w:p>
        </w:tc>
      </w:tr>
      <w:tr>
        <w:trPr>
          <w:trHeight w:hRule="atleast" w:val="625"/>
        </w:trPr>
        <w:tc>
          <w:tcPr>
            <w:tcW w:type="dxa" w:w="3678"/>
            <w:vAlign w:val="center"/>
            <w:tcBorders>
              <w:bottom w:val="single" w:color="auto" w:sz="8"/>
              <w:left w:val="single" w:color="000000" w:sz="4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both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社会认可度高的其他证书获得</w:t>
            </w: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数</w:t>
            </w:r>
          </w:p>
        </w:tc>
        <w:tc>
          <w:tcPr>
            <w:tcW w:type="dxa" w:w="1433"/>
            <w:vAlign w:val="center"/>
            <w:tcBorders>
              <w:bottom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320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317</w:t>
            </w:r>
          </w:p>
        </w:tc>
        <w:tc>
          <w:tcPr>
            <w:tcW w:type="dxa" w:w="1558"/>
            <w:vAlign w:val="center"/>
            <w:tcBorders>
              <w:bottom w:val="single" w:color="auto" w:sz="8"/>
              <w:right w:val="single" w:color="auto" w:sz="8"/>
              <w:top w:val="single" w:color="auto" w:sz="8"/>
            </w:tcBorders>
            <w:shd w:val="clear" w:color="000000"/>
          </w:tcPr>
          <w:p>
            <w:pPr>
              <w:jc w:val="center"/>
              <w:spacing w:lineRule="exact" w:line="274"/>
              <w:ind w:right="440" w:firstLine="0"/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651</w:t>
            </w:r>
          </w:p>
        </w:tc>
      </w:tr>
    </w:tbl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</w:p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</w:p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51" type="#_x0000_t75" style="position:absolute;left:0;margin-left:1pt;mso-position-horizontal:absolute;mso-position-horizontal-relative:text;margin-top:9pt;mso-position-vertical:absolute;mso-position-vertical-relative:text;width:412.4pt;height:158.3pt;z-index:-251624972" filled="t">
            <v:imagedata r:id="rId22" o:title=" "/>
          </v:shape>
        </w:pict>
      </w:r>
    </w:p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</w:p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</w:p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</w:p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</w:p>
    <w:p>
      <w:pPr>
        <w:jc w:val="left"/>
        <w:spacing w:lineRule="exact" w:line="480" w:before="120" w:after="120"/>
        <w:ind w:right="6" w:firstLine="0"/>
        <w:rPr>
          <w:color w:val="auto"/>
          <w:sz w:val="28"/>
          <w:szCs w:val="28"/>
          <w:rFonts w:ascii="宋体" w:eastAsia="宋体" w:hAnsi="宋体" w:cs="宋体"/>
        </w:rPr>
      </w:pPr>
    </w:p>
    <w:p>
      <w:pPr>
        <w:jc w:val="left"/>
        <w:spacing w:lineRule="exact" w:line="480" w:before="120" w:after="120"/>
        <w:ind w:right="6" w:firstLine="566"/>
        <w:rPr>
          <w:color w:val="auto"/>
          <w:sz w:val="28"/>
          <w:szCs w:val="28"/>
          <w:rFonts w:ascii="宋体" w:eastAsia="宋体" w:hAnsi="宋体" w:cs="宋体"/>
        </w:rPr>
      </w:pPr>
      <w:r>
        <w:rPr>
          <w:color w:val="auto"/>
          <w:sz w:val="28"/>
          <w:szCs w:val="28"/>
          <w:rFonts w:ascii="宋体" w:eastAsia="宋体" w:hAnsi="宋体" w:cs="宋体"/>
        </w:rPr>
        <w:t>从表中数据看，我院毕业生获取职业资格证书比例逐年增高，</w:t>
      </w:r>
      <w:r>
        <w:rPr>
          <w:color w:val="auto"/>
          <w:sz w:val="28"/>
          <w:szCs w:val="28"/>
          <w:rFonts w:ascii="宋体" w:eastAsia="宋体" w:hAnsi="宋体" w:cs="宋体"/>
        </w:rPr>
        <w:t>但学生持有的国家职业资格总体比例仍不高，下一步将是学院改革</w:t>
      </w:r>
      <w:r>
        <w:rPr>
          <w:color w:val="auto"/>
          <w:sz w:val="28"/>
          <w:szCs w:val="28"/>
          <w:rFonts w:ascii="宋体" w:eastAsia="宋体" w:hAnsi="宋体" w:cs="宋体"/>
        </w:rPr>
        <w:t>的重点。</w:t>
      </w:r>
    </w:p>
    <w:p>
      <w:pPr>
        <w:pStyle w:val="PO7"/>
        <w:rPr>
          <w:sz w:val="28"/>
          <w:szCs w:val="28"/>
          <w:rFonts w:ascii="宋体" w:eastAsia="宋体" w:hAnsi="宋体" w:cs="宋体"/>
        </w:rPr>
      </w:pPr>
      <w:bookmarkStart w:id="22" w:name="_Toc530555728"/>
      <w:r>
        <w:rPr>
          <w:sz w:val="28"/>
          <w:szCs w:val="28"/>
          <w:rFonts w:ascii="宋体" w:eastAsia="宋体" w:hAnsi="宋体" w:cs="宋体" w:hint="eastAsia"/>
        </w:rPr>
        <w:t xml:space="preserve">第六部分 社会服务</w:t>
      </w:r>
      <w:bookmarkEnd w:id="22"/>
    </w:p>
    <w:p>
      <w:pPr>
        <w:spacing w:lineRule="exact" w:line="48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作为河北省旅游职业教育集团理事长单位，我院一直着眼于职</w:t>
      </w:r>
      <w:r>
        <w:rPr>
          <w:sz w:val="28"/>
          <w:szCs w:val="28"/>
          <w:rFonts w:ascii="宋体" w:eastAsia="宋体" w:hAnsi="宋体" w:cs="宋体" w:hint="eastAsia"/>
        </w:rPr>
        <w:t>业院校服务旅游产业、社会经济发展能力的提升，落实产学融合、校</w:t>
      </w:r>
      <w:r>
        <w:rPr>
          <w:sz w:val="28"/>
          <w:szCs w:val="28"/>
          <w:rFonts w:ascii="宋体" w:eastAsia="宋体" w:hAnsi="宋体" w:cs="宋体" w:hint="eastAsia"/>
        </w:rPr>
        <w:t>企合作、校校联合和国际交流，深化群体优势、组合效应、规模效应</w:t>
      </w:r>
      <w:r>
        <w:rPr>
          <w:sz w:val="28"/>
          <w:szCs w:val="28"/>
          <w:rFonts w:ascii="宋体" w:eastAsia="宋体" w:hAnsi="宋体" w:cs="宋体" w:hint="eastAsia"/>
        </w:rPr>
        <w:t>和带动示范效应，为河北省及京津地区旅游业和经济社会发展提供有</w:t>
      </w:r>
      <w:r>
        <w:rPr>
          <w:sz w:val="28"/>
          <w:szCs w:val="28"/>
          <w:rFonts w:ascii="宋体" w:eastAsia="宋体" w:hAnsi="宋体" w:cs="宋体" w:hint="eastAsia"/>
        </w:rPr>
        <w:t xml:space="preserve">力加盟支撑和智力支持 。</w:t>
      </w:r>
      <w:r>
        <w:rPr>
          <w:sz w:val="28"/>
          <w:szCs w:val="28"/>
          <w:rFonts w:ascii="宋体" w:eastAsia="宋体" w:hAnsi="宋体" w:cs="宋体"/>
        </w:rPr>
        <w:t>2019年承担省市文化与旅游行政管理部</w:t>
      </w:r>
      <w:r>
        <w:rPr>
          <w:sz w:val="28"/>
          <w:szCs w:val="28"/>
          <w:rFonts w:ascii="宋体" w:eastAsia="宋体" w:hAnsi="宋体" w:cs="宋体"/>
        </w:rPr>
        <w:t>门、河北省人力资源和社会保障厅、京津冀区域内酒店、景区、旅行</w:t>
      </w:r>
      <w:r>
        <w:rPr>
          <w:sz w:val="28"/>
          <w:szCs w:val="28"/>
          <w:rFonts w:ascii="宋体" w:eastAsia="宋体" w:hAnsi="宋体" w:cs="宋体"/>
        </w:rPr>
        <w:t>社、银行、学校及培训机构等企业各种培训任务23项，总培训量610</w:t>
      </w:r>
      <w:r>
        <w:rPr>
          <w:sz w:val="28"/>
          <w:szCs w:val="28"/>
          <w:rFonts w:ascii="宋体" w:eastAsia="宋体" w:hAnsi="宋体" w:cs="宋体"/>
        </w:rPr>
        <w:t>0人天。如开办了河北省深度贫困地区乡村旅游和旅游扶贫系列培</w:t>
      </w:r>
      <w:r>
        <w:rPr>
          <w:sz w:val="28"/>
          <w:szCs w:val="28"/>
          <w:rFonts w:ascii="宋体" w:eastAsia="宋体" w:hAnsi="宋体" w:cs="宋体"/>
        </w:rPr>
        <w:t>训班16期，培训1034人；开办了承德市少数民族村干部和致富带</w:t>
      </w:r>
      <w:r>
        <w:rPr>
          <w:sz w:val="28"/>
          <w:szCs w:val="28"/>
          <w:rFonts w:ascii="宋体" w:eastAsia="宋体" w:hAnsi="宋体" w:cs="宋体"/>
        </w:rPr>
        <w:t>头人实用技术培训班4期，培训500余人；新疆巴州及二师旅游管</w:t>
      </w:r>
      <w:r>
        <w:rPr>
          <w:sz w:val="28"/>
          <w:szCs w:val="28"/>
          <w:rFonts w:ascii="宋体" w:eastAsia="宋体" w:hAnsi="宋体" w:cs="宋体"/>
        </w:rPr>
        <w:t>理人员高级培训班，培训123人等，政府购买服务情况如下：</w:t>
      </w:r>
    </w:p>
    <w:p>
      <w:pPr>
        <w:jc w:val="center"/>
        <w:spacing w:lineRule="exact" w:line="480" w:before="120" w:after="120"/>
        <w:rPr>
          <w:b w:val="1"/>
          <w:sz w:val="30"/>
          <w:szCs w:val="30"/>
          <w:rFonts w:ascii="仿宋" w:eastAsia="仿宋" w:hAnsi="仿宋" w:cstheme="minorEastAsia"/>
        </w:rPr>
      </w:pPr>
      <w:r>
        <w:rPr>
          <w:b w:val="1"/>
          <w:sz w:val="30"/>
          <w:szCs w:val="30"/>
          <w:rFonts w:ascii="仿宋" w:eastAsia="仿宋" w:hAnsi="仿宋" w:cstheme="minorEastAsia" w:hint="eastAsia"/>
        </w:rPr>
        <w:t>表17政府购买服务到款额</w:t>
      </w:r>
    </w:p>
    <w:tbl>
      <w:tblID w:val="0"/>
      <w:tblPr>
        <w:tblStyle w:val="PO37"/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2807"/>
        <w:gridCol w:w="1909"/>
        <w:gridCol w:w="1910"/>
        <w:gridCol w:w="1910"/>
      </w:tblGrid>
      <w:tr>
        <w:trPr>
          <w:trHeight w:hRule="atleast" w:val="470"/>
        </w:trPr>
        <w:tc>
          <w:tcPr>
            <w:tcW w:type="dxa" w:w="2807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年度</w:t>
            </w:r>
          </w:p>
        </w:tc>
        <w:tc>
          <w:tcPr>
            <w:tcW w:type="dxa" w:w="1909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2017</w:t>
            </w:r>
          </w:p>
        </w:tc>
        <w:tc>
          <w:tcPr>
            <w:tcW w:type="dxa" w:w="1910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2018</w:t>
            </w:r>
          </w:p>
        </w:tc>
        <w:tc>
          <w:tcPr>
            <w:tcW w:type="dxa" w:w="1910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2019</w:t>
            </w:r>
          </w:p>
        </w:tc>
      </w:tr>
      <w:tr>
        <w:trPr>
          <w:trHeight w:hRule="atleast" w:val="470"/>
        </w:trPr>
        <w:tc>
          <w:tcPr>
            <w:tcW w:type="dxa" w:w="2807"/>
            <w:vAlign w:val="top"/>
          </w:tcPr>
          <w:p>
            <w:pPr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纵向科研（万元）</w:t>
            </w:r>
          </w:p>
        </w:tc>
        <w:tc>
          <w:tcPr>
            <w:tcW w:type="dxa" w:w="1909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 w:hint="eastAsia"/>
              </w:rPr>
              <w:t>60.03</w:t>
            </w:r>
          </w:p>
        </w:tc>
        <w:tc>
          <w:tcPr>
            <w:tcW w:type="dxa" w:w="1910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 w:hint="eastAsia"/>
              </w:rPr>
              <w:t>19.66</w:t>
            </w:r>
          </w:p>
        </w:tc>
        <w:tc>
          <w:tcPr>
            <w:tcW w:type="dxa" w:w="1910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 w:hint="eastAsia"/>
              </w:rPr>
              <w:t>40.65</w:t>
            </w:r>
          </w:p>
        </w:tc>
      </w:tr>
      <w:tr>
        <w:trPr>
          <w:trHeight w:hRule="atleast" w:val="470"/>
        </w:trPr>
        <w:tc>
          <w:tcPr>
            <w:tcW w:type="dxa" w:w="2807"/>
            <w:vAlign w:val="top"/>
          </w:tcPr>
          <w:p>
            <w:pPr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 w:hint="eastAsia"/>
              </w:rPr>
              <w:t>培训服务</w:t>
            </w: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/>
              </w:rPr>
              <w:t>（万元）</w:t>
            </w:r>
          </w:p>
        </w:tc>
        <w:tc>
          <w:tcPr>
            <w:tcW w:type="dxa" w:w="1909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 w:hint="eastAsia"/>
              </w:rPr>
              <w:t>114.51</w:t>
            </w:r>
          </w:p>
        </w:tc>
        <w:tc>
          <w:tcPr>
            <w:tcW w:type="dxa" w:w="1910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 w:hint="eastAsia"/>
              </w:rPr>
              <w:t>232.56</w:t>
            </w:r>
          </w:p>
        </w:tc>
        <w:tc>
          <w:tcPr>
            <w:tcW w:type="dxa" w:w="1910"/>
            <w:vAlign w:val="top"/>
          </w:tcPr>
          <w:p>
            <w:pPr>
              <w:jc w:val="center"/>
              <w:spacing w:lineRule="exact" w:line="480"/>
              <w:rPr>
                <w:color w:val="auto"/>
                <w:sz w:val="24"/>
                <w:szCs w:val="24"/>
                <w:rFonts w:ascii="宋体" w:eastAsia="宋体" w:hAnsi="宋体" w:cs="宋体"/>
              </w:rPr>
            </w:pPr>
            <w:r>
              <w:rPr>
                <w:color w:val="auto"/>
                <w:sz w:val="24"/>
                <w:szCs w:val="24"/>
                <w:w w:val="99"/>
                <w:rFonts w:ascii="宋体" w:eastAsia="宋体" w:hAnsi="宋体" w:cs="宋体" w:hint="eastAsia"/>
              </w:rPr>
              <w:t>171.73</w:t>
            </w:r>
          </w:p>
        </w:tc>
      </w:tr>
    </w:tbl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</w:p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70" type="#_x0000_t75" style="position:absolute;left:0;margin-left:3pt;mso-position-horizontal:absolute;mso-position-horizontal-relative:text;margin-top:22pt;mso-position-vertical:absolute;mso-position-vertical-relative:text;width:417.7pt;height:144.3pt;z-index:-251624971" filled="t">
            <v:imagedata r:id="rId23" o:title=" "/>
          </v:shape>
        </w:pict>
      </w:r>
    </w:p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</w:p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</w:p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</w:p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</w:p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</w:p>
    <w:p>
      <w:pPr>
        <w:jc w:val="center"/>
        <w:spacing w:lineRule="exact" w:line="480" w:before="0" w:after="0"/>
        <w:ind w:right="6" w:firstLine="0"/>
        <w:rPr>
          <w:b w:val="1"/>
          <w:sz w:val="28"/>
          <w:szCs w:val="28"/>
          <w:rFonts w:ascii="宋体" w:eastAsia="宋体" w:hAnsi="宋体" w:cs="宋体"/>
        </w:rPr>
      </w:pPr>
      <w:bookmarkStart w:id="23" w:name="page16"/>
      <w:bookmarkEnd w:id="23"/>
    </w:p>
    <w:p>
      <w:pPr>
        <w:pStyle w:val="PO1"/>
        <w:rPr>
          <w:rStyle w:val="PO1"/>
        </w:rPr>
      </w:pPr>
    </w:p>
    <w:p>
      <w:pPr>
        <w:jc w:val="center"/>
        <w:spacing w:lineRule="exact" w:line="560"/>
        <w:ind w:firstLine="200"/>
        <w:rPr>
          <w:b w:val="1"/>
          <w:sz w:val="28"/>
          <w:szCs w:val="28"/>
          <w:rFonts w:ascii="宋体" w:eastAsia="宋体" w:hAnsi="宋体" w:cs="宋体" w:hint="eastAsia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 xml:space="preserve">第七部分 国际交流</w:t>
      </w: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学院不断通过开展国际旅游教育合作项目等途径提升国际影响</w:t>
      </w:r>
      <w:r>
        <w:rPr>
          <w:sz w:val="28"/>
          <w:szCs w:val="28"/>
          <w:rFonts w:ascii="宋体" w:eastAsia="宋体" w:hAnsi="宋体" w:cs="宋体" w:hint="eastAsia"/>
        </w:rPr>
        <w:t>力。2019年，学院在拉脱维亚里加酒店管理学院建立“河北国际旅游</w:t>
      </w:r>
      <w:r>
        <w:rPr>
          <w:sz w:val="28"/>
          <w:szCs w:val="28"/>
          <w:rFonts w:ascii="宋体" w:eastAsia="宋体" w:hAnsi="宋体" w:cs="宋体" w:hint="eastAsia"/>
        </w:rPr>
        <w:t>学院”，拉脱维亚在河北旅游职业学院挂牌成立“里加国际旅游学</w:t>
      </w:r>
      <w:r>
        <w:rPr>
          <w:sz w:val="28"/>
          <w:szCs w:val="28"/>
          <w:rFonts w:ascii="宋体" w:eastAsia="宋体" w:hAnsi="宋体" w:cs="宋体" w:hint="eastAsia"/>
        </w:rPr>
        <w:t>院”；学院首个海外教育交流基地落户马来西亚泰莱大学；学院成为</w:t>
      </w:r>
      <w:r>
        <w:rPr>
          <w:sz w:val="28"/>
          <w:szCs w:val="28"/>
          <w:rFonts w:ascii="宋体" w:eastAsia="宋体" w:hAnsi="宋体" w:cs="宋体" w:hint="eastAsia"/>
        </w:rPr>
        <w:t>河北省教育厅中波教育发展联盟单位；塞舌尔学生实习就业项目被塞</w:t>
      </w:r>
      <w:r>
        <w:rPr>
          <w:sz w:val="28"/>
          <w:szCs w:val="28"/>
          <w:rFonts w:ascii="宋体" w:eastAsia="宋体" w:hAnsi="宋体" w:cs="宋体" w:hint="eastAsia"/>
        </w:rPr>
        <w:t xml:space="preserve">舌尔驻华大使誉为 “中塞旅游教育合作的成功范例”；“国际校企</w:t>
      </w:r>
      <w:r>
        <w:rPr>
          <w:sz w:val="28"/>
          <w:szCs w:val="28"/>
          <w:rFonts w:ascii="宋体" w:eastAsia="宋体" w:hAnsi="宋体" w:cs="宋体" w:hint="eastAsia"/>
        </w:rPr>
        <w:t>深度融合，协同培养国际人才”典型案例荣获2019中国（西安）世界</w:t>
      </w:r>
      <w:r>
        <w:rPr>
          <w:sz w:val="28"/>
          <w:szCs w:val="28"/>
          <w:rFonts w:ascii="宋体" w:eastAsia="宋体" w:hAnsi="宋体" w:cs="宋体" w:hint="eastAsia"/>
        </w:rPr>
        <w:t>职业教育大会“优秀案例”；积极推进与英国北安普顿大学合作举办</w:t>
      </w:r>
      <w:r>
        <w:rPr>
          <w:sz w:val="28"/>
          <w:szCs w:val="28"/>
          <w:rFonts w:ascii="宋体" w:eastAsia="宋体" w:hAnsi="宋体" w:cs="宋体" w:hint="eastAsia"/>
        </w:rPr>
        <w:t>酒店管理专业专科教育项目申报工作，从2019年4月起，开始筹备申</w:t>
      </w:r>
      <w:r>
        <w:rPr>
          <w:sz w:val="28"/>
          <w:szCs w:val="28"/>
          <w:rFonts w:ascii="宋体" w:eastAsia="宋体" w:hAnsi="宋体" w:cs="宋体" w:hint="eastAsia"/>
        </w:rPr>
        <w:t>报事宜，及时将400余页的申报材料上报省教育厅，12月20日参</w:t>
      </w:r>
      <w:r>
        <w:rPr>
          <w:sz w:val="28"/>
          <w:szCs w:val="28"/>
          <w:rFonts w:ascii="宋体" w:eastAsia="宋体" w:hAnsi="宋体" w:cs="宋体" w:hint="eastAsia"/>
        </w:rPr>
        <w:t>加了省教育厅答辩；积极推进与日本札幌国际大学合作举办观光专业</w:t>
      </w:r>
      <w:r>
        <w:rPr>
          <w:sz w:val="28"/>
          <w:szCs w:val="28"/>
          <w:rFonts w:ascii="宋体" w:eastAsia="宋体" w:hAnsi="宋体" w:cs="宋体" w:hint="eastAsia"/>
        </w:rPr>
        <w:t>专科教育项目，已与日方进行充分沟通并签署协议，2020年拟开始招</w:t>
      </w:r>
      <w:r>
        <w:rPr>
          <w:sz w:val="28"/>
          <w:szCs w:val="28"/>
          <w:rFonts w:ascii="宋体" w:eastAsia="宋体" w:hAnsi="宋体" w:cs="宋体" w:hint="eastAsia"/>
        </w:rPr>
        <w:t>收中日旅游观光班。于2017、2019年两次荣获“高等职业院校国际影</w:t>
      </w:r>
      <w:r>
        <w:rPr>
          <w:sz w:val="28"/>
          <w:szCs w:val="28"/>
          <w:rFonts w:ascii="宋体" w:eastAsia="宋体" w:hAnsi="宋体" w:cs="宋体" w:hint="eastAsia"/>
        </w:rPr>
        <w:t>响力50强”称号。</w:t>
      </w: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pStyle w:val="PO7"/>
        <w:spacing w:lineRule="exact" w:line="480" w:before="0" w:after="0"/>
        <w:rPr>
          <w:sz w:val="28"/>
          <w:szCs w:val="28"/>
          <w:rFonts w:ascii="宋体" w:eastAsia="宋体" w:hAnsi="宋体" w:cs="宋体" w:hint="eastAsia"/>
        </w:rPr>
      </w:pPr>
      <w:r>
        <w:rPr>
          <w:sz w:val="20"/>
        </w:rPr>
        <w:drawing>
          <wp:anchor distT="0" distB="0" distL="114300" distR="114300" simplePos="0" relativeHeight="251624955" behindDoc="1" locked="0" layoutInCell="1" allowOverlap="1">
            <wp:simplePos x="0" y="0"/>
            <wp:positionH relativeFrom="column">
              <wp:posOffset>-46995</wp:posOffset>
            </wp:positionH>
            <wp:positionV relativeFrom="paragraph">
              <wp:posOffset>126370</wp:posOffset>
            </wp:positionV>
            <wp:extent cx="5320665" cy="2844800"/>
            <wp:effectExtent l="0" t="0" r="0" b="0"/>
            <wp:wrapNone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HP/AppData/Roaming/JisuOffice/ETemp/76804_20043136/fImage140816391328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84543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pStyle w:val="PO7"/>
        <w:spacing w:lineRule="exact" w:line="480" w:before="0" w:after="0"/>
        <w:rPr>
          <w:sz w:val="28"/>
          <w:szCs w:val="28"/>
          <w:rFonts w:ascii="宋体" w:eastAsia="宋体" w:hAnsi="宋体" w:cs="宋体" w:hint="eastAsia"/>
        </w:rPr>
      </w:pPr>
    </w:p>
    <w:p>
      <w:pPr>
        <w:pStyle w:val="PO1"/>
        <w:rPr>
          <w:rStyle w:val="PO1"/>
        </w:rPr>
      </w:pPr>
    </w:p>
    <w:p>
      <w:pPr>
        <w:pStyle w:val="PO1"/>
        <w:rPr>
          <w:rStyle w:val="PO1"/>
        </w:rPr>
      </w:pPr>
    </w:p>
    <w:p>
      <w:pPr>
        <w:pStyle w:val="PO1"/>
        <w:rPr>
          <w:rStyle w:val="PO1"/>
        </w:rPr>
      </w:pPr>
    </w:p>
    <w:p>
      <w:pPr>
        <w:pStyle w:val="PO1"/>
        <w:rPr>
          <w:rStyle w:val="PO1"/>
        </w:rPr>
      </w:pPr>
    </w:p>
    <w:p>
      <w:pPr>
        <w:pStyle w:val="PO1"/>
        <w:rPr>
          <w:rStyle w:val="PO1"/>
        </w:rPr>
      </w:pPr>
    </w:p>
    <w:p>
      <w:pPr>
        <w:pStyle w:val="PO7"/>
        <w:spacing w:lineRule="exact" w:line="480" w:before="0" w:after="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  <w:r>
        <w:rPr>
          <w:sz w:val="20"/>
        </w:rPr>
        <w:drawing>
          <wp:anchor distT="0" distB="0" distL="114300" distR="114300" simplePos="0" relativeHeight="251624956" behindDoc="1" locked="0" layoutInCell="1" allowOverlap="1">
            <wp:simplePos x="0" y="0"/>
            <wp:positionH relativeFrom="column">
              <wp:posOffset>-50805</wp:posOffset>
            </wp:positionH>
            <wp:positionV relativeFrom="paragraph">
              <wp:posOffset>71760</wp:posOffset>
            </wp:positionV>
            <wp:extent cx="5314950" cy="2613660"/>
            <wp:effectExtent l="0" t="0" r="0" b="0"/>
            <wp:wrapNone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HP/AppData/Roaming/JisuOffice/ETemp/76804_20043136/fImage188383395682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61429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520"/>
        <w:rPr>
          <w:sz w:val="28"/>
          <w:szCs w:val="28"/>
          <w:rFonts w:ascii="宋体" w:eastAsia="宋体" w:hAnsi="宋体" w:cs="宋体" w:hint="eastAsia"/>
        </w:rPr>
      </w:pPr>
    </w:p>
    <w:p>
      <w:pPr>
        <w:jc w:val="both"/>
        <w:spacing w:lineRule="exact" w:line="560"/>
        <w:ind w:firstLine="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我院荣获“2019年高等职业院校国际影响力50强”称号</w:t>
      </w:r>
    </w:p>
    <w:p>
      <w:pPr>
        <w:pStyle w:val="PO7"/>
        <w:spacing w:lineRule="exact" w:line="480" w:before="0" w:after="0"/>
        <w:rPr>
          <w:sz w:val="28"/>
          <w:szCs w:val="28"/>
          <w:rFonts w:ascii="宋体" w:eastAsia="宋体" w:hAnsi="宋体" w:cs="宋体" w:hint="eastAsia"/>
        </w:rPr>
      </w:pPr>
    </w:p>
    <w:p>
      <w:pPr>
        <w:pStyle w:val="PO7"/>
        <w:spacing w:lineRule="exact" w:line="480" w:before="0" w:after="0"/>
        <w:rPr>
          <w:sz w:val="28"/>
          <w:szCs w:val="28"/>
          <w:rFonts w:ascii="宋体" w:eastAsia="宋体" w:hAnsi="宋体" w:cs="宋体" w:hint="eastAsia"/>
        </w:rPr>
      </w:pPr>
      <w:bookmarkStart w:id="24" w:name="_Toc530555729"/>
      <w:r>
        <w:rPr>
          <w:sz w:val="28"/>
          <w:szCs w:val="28"/>
          <w:rFonts w:ascii="宋体" w:eastAsia="宋体" w:hAnsi="宋体" w:cs="宋体" w:hint="eastAsia"/>
        </w:rPr>
        <w:t xml:space="preserve">第八部分 存在问题及未来发展</w:t>
      </w:r>
      <w:bookmarkEnd w:id="24"/>
    </w:p>
    <w:p>
      <w:pPr>
        <w:spacing w:lineRule="exact" w:line="480" w:before="0" w:after="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从以上数据分析来看，我院在办学和发展中还面临着很多问题，</w:t>
      </w:r>
      <w:r>
        <w:rPr>
          <w:sz w:val="28"/>
          <w:szCs w:val="28"/>
          <w:rFonts w:ascii="宋体" w:eastAsia="宋体" w:hAnsi="宋体" w:cs="宋体" w:hint="eastAsia"/>
        </w:rPr>
        <w:t>主要表现在以下几个方面：</w:t>
      </w:r>
    </w:p>
    <w:p>
      <w:pPr>
        <w:pStyle w:val="PO9"/>
        <w:spacing w:lineRule="exact" w:line="480" w:before="0" w:after="0"/>
        <w:rPr>
          <w:sz w:val="28"/>
          <w:szCs w:val="28"/>
          <w:rFonts w:ascii="宋体" w:eastAsia="宋体" w:hAnsi="宋体" w:cs="宋体" w:hint="eastAsia"/>
        </w:rPr>
      </w:pPr>
      <w:bookmarkStart w:id="25" w:name="_Toc27536"/>
      <w:bookmarkStart w:id="26" w:name="_Toc24444"/>
      <w:bookmarkStart w:id="27" w:name="_Toc7424"/>
      <w:bookmarkStart w:id="28" w:name="_Toc26055"/>
      <w:bookmarkStart w:id="29" w:name="_Toc906"/>
      <w:bookmarkStart w:id="30" w:name="_Toc1329"/>
      <w:bookmarkStart w:id="31" w:name="_Toc4135"/>
      <w:r>
        <w:rPr/>
        <w:t xml:space="preserve">    </w:t>
      </w:r>
      <w:bookmarkStart w:id="32" w:name="_Toc530555730"/>
      <w:r>
        <w:rPr>
          <w:sz w:val="28"/>
          <w:szCs w:val="28"/>
          <w:rFonts w:ascii="宋体" w:eastAsia="宋体" w:hAnsi="宋体" w:cs="宋体" w:hint="eastAsia"/>
        </w:rPr>
        <w:t>一、社会服务能力有待提升</w:t>
      </w:r>
      <w:bookmarkEnd w:id="32"/>
    </w:p>
    <w:p>
      <w:pPr>
        <w:spacing w:lineRule="exact" w:line="480" w:before="0" w:after="0"/>
        <w:ind w:firstLine="643"/>
        <w:rPr>
          <w:b w:val="1"/>
          <w:sz w:val="28"/>
          <w:szCs w:val="28"/>
          <w:rFonts w:ascii="宋体" w:eastAsia="宋体" w:hAnsi="宋体" w:cs="宋体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（一）加强专业整合，提高专业与产业匹配度</w:t>
      </w:r>
    </w:p>
    <w:p>
      <w:pPr>
        <w:spacing w:lineRule="exact" w:line="480" w:before="0" w:after="0"/>
        <w:ind w:firstLine="64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专业是高校与社会的接口，高等教育的实质是专业教育，高职教</w:t>
      </w:r>
      <w:r>
        <w:rPr>
          <w:sz w:val="28"/>
          <w:szCs w:val="28"/>
          <w:rFonts w:ascii="宋体" w:eastAsia="宋体" w:hAnsi="宋体" w:cs="宋体" w:hint="eastAsia"/>
        </w:rPr>
        <w:t>育为社会提供服务最基本、最主要的形式就是为区域经济、行业企业</w:t>
      </w:r>
      <w:r>
        <w:rPr>
          <w:sz w:val="28"/>
          <w:szCs w:val="28"/>
          <w:rFonts w:ascii="宋体" w:eastAsia="宋体" w:hAnsi="宋体" w:cs="宋体" w:hint="eastAsia"/>
        </w:rPr>
        <w:t>培养高素质高技能人才。目前我院开设专业在国家高职专业目录中</w:t>
      </w:r>
      <w:r>
        <w:rPr>
          <w:sz w:val="28"/>
          <w:szCs w:val="28"/>
          <w:rFonts w:ascii="宋体" w:eastAsia="宋体" w:hAnsi="宋体" w:cs="宋体" w:hint="eastAsia"/>
        </w:rPr>
        <w:t>共19大类，下一步工作重点仍是加强专业整合，提高专业与产业匹配</w:t>
      </w:r>
      <w:r>
        <w:rPr>
          <w:sz w:val="28"/>
          <w:szCs w:val="28"/>
          <w:rFonts w:ascii="宋体" w:eastAsia="宋体" w:hAnsi="宋体" w:cs="宋体" w:hint="eastAsia"/>
        </w:rPr>
        <w:t>度，打造与区域经济相吻合的特色专业和品牌专业，</w:t>
      </w:r>
      <w:r>
        <w:rPr>
          <w:sz w:val="32"/>
          <w:szCs w:val="32"/>
          <w:rFonts w:ascii="仿宋_GB2312" w:eastAsia="仿宋_GB2312" w:hAnsi="仿宋_GB2312" w:cs="仿宋_GB2312"/>
        </w:rPr>
        <w:t>服务京津冀协</w:t>
      </w:r>
      <w:r>
        <w:rPr>
          <w:sz w:val="32"/>
          <w:szCs w:val="32"/>
          <w:rFonts w:ascii="仿宋_GB2312" w:eastAsia="仿宋_GB2312" w:hAnsi="仿宋_GB2312" w:cs="仿宋_GB2312"/>
        </w:rPr>
        <w:t>同发展战略，</w:t>
      </w:r>
      <w:r>
        <w:rPr>
          <w:sz w:val="28"/>
          <w:szCs w:val="28"/>
          <w:rFonts w:ascii="宋体" w:eastAsia="宋体" w:hAnsi="宋体" w:cs="宋体" w:hint="eastAsia"/>
        </w:rPr>
        <w:t>加大专业群建设力度，提升课程体系的科学性和规范</w:t>
      </w:r>
      <w:r>
        <w:rPr>
          <w:sz w:val="28"/>
          <w:szCs w:val="28"/>
          <w:rFonts w:ascii="宋体" w:eastAsia="宋体" w:hAnsi="宋体" w:cs="宋体" w:hint="eastAsia"/>
        </w:rPr>
        <w:t>性，提高核心课程质量，保证专业人才质量，停招技术落后专业，集</w:t>
      </w:r>
      <w:r>
        <w:rPr>
          <w:sz w:val="28"/>
          <w:szCs w:val="28"/>
          <w:rFonts w:ascii="宋体" w:eastAsia="宋体" w:hAnsi="宋体" w:cs="宋体" w:hint="eastAsia"/>
        </w:rPr>
        <w:t>中优势资源培养社会急需人员。</w:t>
      </w:r>
    </w:p>
    <w:p>
      <w:pPr>
        <w:jc w:val="both"/>
        <w:spacing w:lineRule="exact" w:line="480" w:before="0" w:after="0"/>
        <w:ind w:firstLine="363"/>
        <w:rPr>
          <w:b w:val="1"/>
          <w:sz w:val="28"/>
          <w:szCs w:val="28"/>
          <w:rFonts w:ascii="宋体" w:eastAsia="宋体" w:hAnsi="宋体" w:cs="宋体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（二）提高教师社会服务能力</w:t>
      </w:r>
    </w:p>
    <w:p>
      <w:pPr>
        <w:spacing w:lineRule="exact" w:line="480" w:before="0" w:after="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师资队伍是开展社会服务的主体，专业技能是学院教师开展社</w:t>
      </w:r>
      <w:r>
        <w:rPr>
          <w:sz w:val="28"/>
          <w:szCs w:val="28"/>
          <w:rFonts w:ascii="宋体" w:eastAsia="宋体" w:hAnsi="宋体" w:cs="宋体" w:hint="eastAsia"/>
        </w:rPr>
        <w:t>会服务的必备条件。近三年，学院对外开展社会人员培训、培训服务、</w:t>
      </w:r>
      <w:r>
        <w:rPr>
          <w:sz w:val="28"/>
          <w:szCs w:val="28"/>
          <w:rFonts w:ascii="宋体" w:eastAsia="宋体" w:hAnsi="宋体" w:cs="宋体" w:hint="eastAsia"/>
        </w:rPr>
        <w:t>纵向科研数据都有所增加，但还需要进一步提高。</w:t>
      </w:r>
    </w:p>
    <w:p>
      <w:pPr>
        <w:spacing w:lineRule="exact" w:line="480" w:before="0" w:after="0"/>
        <w:ind w:firstLine="64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下一步学院应进一步激发教师社会服务责任意识和动力，提高</w:t>
      </w:r>
      <w:r>
        <w:rPr>
          <w:sz w:val="28"/>
          <w:szCs w:val="28"/>
          <w:rFonts w:ascii="宋体" w:eastAsia="宋体" w:hAnsi="宋体" w:cs="宋体" w:hint="eastAsia"/>
        </w:rPr>
        <w:t>教师参与课题研究、技术培训等各方面社会服务工作的参与度，同时</w:t>
      </w:r>
      <w:r>
        <w:rPr>
          <w:sz w:val="28"/>
          <w:szCs w:val="28"/>
          <w:rFonts w:ascii="宋体" w:eastAsia="宋体" w:hAnsi="宋体" w:cs="宋体" w:hint="eastAsia"/>
        </w:rPr>
        <w:t>加大教师培训力度，提高教师专业能力和社会服务能力。一是要做好</w:t>
      </w:r>
      <w:r>
        <w:rPr>
          <w:sz w:val="28"/>
          <w:szCs w:val="28"/>
          <w:rFonts w:ascii="宋体" w:eastAsia="宋体" w:hAnsi="宋体" w:cs="宋体" w:hint="eastAsia"/>
        </w:rPr>
        <w:t>服务乡村振兴和精准扶贫战略，大力开展乡村实用技术培训、管理人</w:t>
      </w:r>
      <w:r>
        <w:rPr>
          <w:sz w:val="28"/>
          <w:szCs w:val="28"/>
          <w:rFonts w:ascii="宋体" w:eastAsia="宋体" w:hAnsi="宋体" w:cs="宋体" w:hint="eastAsia"/>
        </w:rPr>
        <w:t>才培训、新型职业农民培训等，建立专业培训师资库，开发乡村培训</w:t>
      </w:r>
      <w:r>
        <w:rPr>
          <w:sz w:val="28"/>
          <w:szCs w:val="28"/>
          <w:rFonts w:ascii="宋体" w:eastAsia="宋体" w:hAnsi="宋体" w:cs="宋体" w:hint="eastAsia"/>
        </w:rPr>
        <w:t>课程包。继续实施好“助学圆梦工程”。二要以服务区域发展和地方</w:t>
      </w:r>
      <w:r>
        <w:rPr>
          <w:sz w:val="28"/>
          <w:szCs w:val="28"/>
          <w:rFonts w:ascii="宋体" w:eastAsia="宋体" w:hAnsi="宋体" w:cs="宋体" w:hint="eastAsia"/>
        </w:rPr>
        <w:t>产业转型升级为目标，加强产学研合作，建立旅游、农林、畜牧、设</w:t>
      </w:r>
      <w:r>
        <w:rPr>
          <w:sz w:val="28"/>
          <w:szCs w:val="28"/>
          <w:rFonts w:ascii="宋体" w:eastAsia="宋体" w:hAnsi="宋体" w:cs="宋体" w:hint="eastAsia"/>
        </w:rPr>
        <w:t>计等领域的研究中心和咨询中心，打造技术创新平台，服务中小微企</w:t>
      </w:r>
      <w:r>
        <w:rPr>
          <w:sz w:val="28"/>
          <w:szCs w:val="28"/>
          <w:rFonts w:ascii="宋体" w:eastAsia="宋体" w:hAnsi="宋体" w:cs="宋体" w:hint="eastAsia"/>
        </w:rPr>
        <w:t>业。三要加强校友会建设，在各县市区建立和发展旅院校友会分会，推</w:t>
      </w:r>
      <w:r>
        <w:rPr>
          <w:sz w:val="28"/>
          <w:szCs w:val="28"/>
          <w:rFonts w:ascii="宋体" w:eastAsia="宋体" w:hAnsi="宋体" w:cs="宋体" w:hint="eastAsia"/>
        </w:rPr>
        <w:t>进校友会向法人实体方向发展，发挥其聚集人脉、聚合资源、聚力发</w:t>
      </w:r>
      <w:r>
        <w:rPr>
          <w:sz w:val="28"/>
          <w:szCs w:val="28"/>
          <w:rFonts w:ascii="宋体" w:eastAsia="宋体" w:hAnsi="宋体" w:cs="宋体" w:hint="eastAsia"/>
        </w:rPr>
        <w:t>展的作用。</w:t>
      </w:r>
    </w:p>
    <w:p>
      <w:pPr>
        <w:spacing w:lineRule="exact" w:line="480" w:before="0" w:after="0"/>
        <w:ind w:firstLine="643"/>
        <w:rPr>
          <w:b w:val="1"/>
          <w:sz w:val="28"/>
          <w:szCs w:val="28"/>
          <w:rFonts w:ascii="宋体" w:eastAsia="宋体" w:hAnsi="宋体" w:cs="宋体"/>
        </w:rPr>
      </w:pPr>
      <w:r>
        <w:rPr>
          <w:b w:val="1"/>
          <w:sz w:val="28"/>
          <w:szCs w:val="28"/>
          <w:rFonts w:ascii="宋体" w:eastAsia="宋体" w:hAnsi="宋体" w:cs="宋体" w:hint="eastAsia"/>
        </w:rPr>
        <w:t>（三）完善专业标准，提高学生就业竞争力</w:t>
      </w:r>
    </w:p>
    <w:p>
      <w:pPr>
        <w:spacing w:lineRule="exact" w:line="480" w:before="0" w:after="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从数据看，学生进入中小微企业比例占多数，就业竞争力还有待</w:t>
      </w:r>
      <w:r>
        <w:rPr>
          <w:sz w:val="28"/>
          <w:szCs w:val="28"/>
          <w:rFonts w:ascii="宋体" w:eastAsia="宋体" w:hAnsi="宋体" w:cs="宋体" w:hint="eastAsia"/>
        </w:rPr>
        <w:t>极高，原因在于课程体系还有待于进一步优化，进一步提升学生职业</w:t>
      </w:r>
      <w:r>
        <w:rPr>
          <w:sz w:val="28"/>
          <w:szCs w:val="28"/>
          <w:rFonts w:ascii="宋体" w:eastAsia="宋体" w:hAnsi="宋体" w:cs="宋体" w:hint="eastAsia"/>
        </w:rPr>
        <w:t>技能培养，突出高职特色，同时，资格证获取率低、含金量低也对学</w:t>
      </w:r>
      <w:r>
        <w:rPr>
          <w:sz w:val="28"/>
          <w:szCs w:val="28"/>
          <w:rFonts w:ascii="宋体" w:eastAsia="宋体" w:hAnsi="宋体" w:cs="宋体" w:hint="eastAsia"/>
        </w:rPr>
        <w:t>生就业造成一定影响。学院将对此开展调研、分析原因，修订专业标</w:t>
      </w:r>
      <w:r>
        <w:rPr>
          <w:sz w:val="28"/>
          <w:szCs w:val="28"/>
          <w:rFonts w:ascii="宋体" w:eastAsia="宋体" w:hAnsi="宋体" w:cs="宋体" w:hint="eastAsia"/>
        </w:rPr>
        <w:t>准，将相关职业资格证书列为毕业要求，并整合据此整合教学内容，提</w:t>
      </w:r>
      <w:r>
        <w:rPr>
          <w:sz w:val="28"/>
          <w:szCs w:val="28"/>
          <w:rFonts w:ascii="宋体" w:eastAsia="宋体" w:hAnsi="宋体" w:cs="宋体" w:hint="eastAsia"/>
        </w:rPr>
        <w:t>升课程体系科学性，提高课程内容的岗位针对性，保证职业资格证书</w:t>
      </w:r>
      <w:r>
        <w:rPr>
          <w:sz w:val="28"/>
          <w:szCs w:val="28"/>
          <w:rFonts w:ascii="宋体" w:eastAsia="宋体" w:hAnsi="宋体" w:cs="宋体" w:hint="eastAsia"/>
        </w:rPr>
        <w:t xml:space="preserve">获取率，进一步提升学生就业竞争力 。</w:t>
      </w:r>
    </w:p>
    <w:p>
      <w:pPr>
        <w:pStyle w:val="PO9"/>
        <w:spacing w:lineRule="exact" w:line="480" w:before="0" w:after="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 xml:space="preserve">    </w:t>
      </w:r>
      <w:bookmarkStart w:id="33" w:name="_Toc530555731"/>
      <w:r>
        <w:rPr>
          <w:sz w:val="28"/>
          <w:szCs w:val="28"/>
          <w:rFonts w:ascii="宋体" w:eastAsia="宋体" w:hAnsi="宋体" w:cs="宋体" w:hint="eastAsia"/>
        </w:rPr>
        <w:t>二、校企合作、产教融合还有待于深化</w:t>
      </w:r>
      <w:bookmarkEnd w:id="33"/>
    </w:p>
    <w:p>
      <w:pPr>
        <w:spacing w:lineRule="exact" w:line="480" w:before="0" w:after="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校企合作、产教融合是高职院校的特色，也是高职院校发展重点</w:t>
      </w:r>
      <w:r>
        <w:rPr>
          <w:sz w:val="28"/>
          <w:szCs w:val="28"/>
          <w:rFonts w:ascii="宋体" w:eastAsia="宋体" w:hAnsi="宋体" w:cs="宋体" w:hint="eastAsia"/>
        </w:rPr>
        <w:t>和难点。深化校企合作、产教融合不仅能够加强企业院校教学质量、为</w:t>
      </w:r>
      <w:r>
        <w:rPr>
          <w:sz w:val="28"/>
          <w:szCs w:val="28"/>
          <w:rFonts w:ascii="宋体" w:eastAsia="宋体" w:hAnsi="宋体" w:cs="宋体" w:hint="eastAsia"/>
        </w:rPr>
        <w:t>学生提供实训机会、为企业提供培训服务，更能够为教师提供挂职机</w:t>
      </w:r>
      <w:r>
        <w:rPr>
          <w:sz w:val="28"/>
          <w:szCs w:val="28"/>
          <w:rFonts w:ascii="宋体" w:eastAsia="宋体" w:hAnsi="宋体" w:cs="宋体" w:hint="eastAsia"/>
        </w:rPr>
        <w:t>会，使得教师带着问题进企业、带着项目回课堂，带着经验做科研，将</w:t>
      </w:r>
      <w:r>
        <w:rPr>
          <w:sz w:val="28"/>
          <w:szCs w:val="28"/>
          <w:rFonts w:ascii="宋体" w:eastAsia="宋体" w:hAnsi="宋体" w:cs="宋体" w:hint="eastAsia"/>
        </w:rPr>
        <w:t>科研转化为成果为企业服务、提高课堂质量。</w:t>
      </w:r>
    </w:p>
    <w:p>
      <w:pPr>
        <w:jc w:val="both"/>
        <w:spacing w:lineRule="exact" w:line="480" w:before="0" w:after="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但从目前数据看，学院主要的校企合作仅限于订单班、实训基地，</w:t>
      </w:r>
      <w:r>
        <w:rPr>
          <w:sz w:val="28"/>
          <w:szCs w:val="28"/>
          <w:rFonts w:ascii="宋体" w:eastAsia="宋体" w:hAnsi="宋体" w:cs="宋体"/>
        </w:rPr>
        <w:t>下一步学院将加大校区合作力度，完善立校企合作机制，创造更好的</w:t>
      </w:r>
      <w:r>
        <w:rPr>
          <w:sz w:val="28"/>
          <w:szCs w:val="28"/>
          <w:rFonts w:ascii="宋体" w:eastAsia="宋体" w:hAnsi="宋体" w:cs="宋体"/>
        </w:rPr>
        <w:t>政策环境，推动学校与企业之间人员任职与双向流动，创新校企合作</w:t>
      </w:r>
      <w:r>
        <w:rPr>
          <w:sz w:val="28"/>
          <w:szCs w:val="28"/>
          <w:rFonts w:ascii="宋体" w:eastAsia="宋体" w:hAnsi="宋体" w:cs="宋体"/>
        </w:rPr>
        <w:t>模式，全面深化产教融合，探索现代学徒制与校企协同创新方面的新</w:t>
      </w:r>
      <w:r>
        <w:rPr>
          <w:sz w:val="28"/>
          <w:szCs w:val="28"/>
          <w:rFonts w:ascii="宋体" w:eastAsia="宋体" w:hAnsi="宋体" w:cs="宋体"/>
        </w:rPr>
        <w:t>路径。</w:t>
      </w:r>
    </w:p>
    <w:p>
      <w:pPr>
        <w:pStyle w:val="PO9"/>
        <w:spacing w:lineRule="exact" w:line="480" w:before="0" w:after="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/>
        </w:rPr>
        <w:t xml:space="preserve">    </w:t>
      </w:r>
      <w:bookmarkStart w:id="34" w:name="_Toc530555732"/>
      <w:r>
        <w:rPr>
          <w:sz w:val="28"/>
          <w:szCs w:val="28"/>
          <w:rFonts w:ascii="宋体" w:eastAsia="宋体" w:hAnsi="宋体" w:cs="宋体" w:hint="eastAsia"/>
        </w:rPr>
        <w:t>三、信息化教学与管理有待提高</w:t>
      </w:r>
      <w:bookmarkEnd w:id="34"/>
    </w:p>
    <w:p>
      <w:pPr>
        <w:spacing w:lineRule="exact" w:line="480" w:before="0" w:after="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数字化校园建设还有待于进一步加强与完善</w:t>
      </w:r>
      <w:r>
        <w:rPr>
          <w:sz w:val="28"/>
          <w:szCs w:val="28"/>
          <w:rFonts w:ascii="宋体" w:eastAsia="宋体" w:hAnsi="宋体" w:cs="宋体"/>
        </w:rPr>
        <w:t>，</w:t>
      </w:r>
      <w:r>
        <w:rPr>
          <w:sz w:val="28"/>
          <w:szCs w:val="28"/>
          <w:rFonts w:ascii="宋体" w:eastAsia="宋体" w:hAnsi="宋体" w:cs="宋体" w:hint="eastAsia"/>
        </w:rPr>
        <w:t>信息化教学与管</w:t>
      </w:r>
      <w:r>
        <w:rPr>
          <w:sz w:val="28"/>
          <w:szCs w:val="28"/>
          <w:rFonts w:ascii="宋体" w:eastAsia="宋体" w:hAnsi="宋体" w:cs="宋体" w:hint="eastAsia"/>
        </w:rPr>
        <w:t>理还有进一步推进。</w:t>
      </w:r>
    </w:p>
    <w:p>
      <w:pPr>
        <w:jc w:val="both"/>
        <w:spacing w:lineRule="exact" w:line="480" w:before="0" w:after="0"/>
        <w:ind w:firstLine="640"/>
        <w:rPr>
          <w:sz w:val="28"/>
          <w:szCs w:val="28"/>
          <w:rFonts w:ascii="宋体" w:eastAsia="宋体" w:hAnsi="宋体" w:cs="宋体"/>
        </w:rPr>
      </w:pPr>
      <w:r>
        <w:rPr>
          <w:sz w:val="28"/>
          <w:szCs w:val="28"/>
          <w:rFonts w:ascii="宋体" w:eastAsia="宋体" w:hAnsi="宋体" w:cs="宋体" w:hint="eastAsia"/>
        </w:rPr>
        <w:t>学院将</w:t>
      </w:r>
      <w:r>
        <w:rPr>
          <w:sz w:val="28"/>
          <w:szCs w:val="28"/>
          <w:rFonts w:ascii="宋体" w:eastAsia="宋体" w:hAnsi="宋体" w:cs="宋体"/>
        </w:rPr>
        <w:t>进一步提高网络带宽，网络信息节点数，</w:t>
      </w:r>
      <w:r>
        <w:rPr>
          <w:sz w:val="28"/>
          <w:szCs w:val="28"/>
          <w:rFonts w:ascii="宋体" w:eastAsia="宋体" w:hAnsi="宋体" w:cs="宋体"/>
        </w:rPr>
        <w:t>加强智慧校</w:t>
      </w:r>
      <w:r>
        <w:rPr>
          <w:sz w:val="28"/>
          <w:szCs w:val="28"/>
          <w:rFonts w:ascii="宋体" w:eastAsia="宋体" w:hAnsi="宋体" w:cs="宋体"/>
        </w:rPr>
        <w:t>园、智慧教室建设</w:t>
      </w:r>
      <w:r>
        <w:rPr>
          <w:sz w:val="28"/>
          <w:szCs w:val="28"/>
          <w:rFonts w:ascii="宋体" w:eastAsia="宋体" w:hAnsi="宋体" w:cs="宋体"/>
        </w:rPr>
        <w:t>，</w:t>
      </w:r>
      <w:r>
        <w:rPr>
          <w:sz w:val="28"/>
          <w:szCs w:val="28"/>
          <w:rFonts w:ascii="宋体" w:eastAsia="宋体" w:hAnsi="宋体" w:cs="宋体" w:hint="eastAsia"/>
        </w:rPr>
        <w:t>保证信息化教学开展质量。本着坚持开放性发展</w:t>
      </w:r>
      <w:r>
        <w:rPr>
          <w:sz w:val="28"/>
          <w:szCs w:val="28"/>
          <w:rFonts w:ascii="宋体" w:eastAsia="宋体" w:hAnsi="宋体" w:cs="宋体" w:hint="eastAsia"/>
        </w:rPr>
        <w:t>理念，</w:t>
      </w:r>
      <w:r>
        <w:rPr>
          <w:sz w:val="28"/>
          <w:szCs w:val="28"/>
          <w:rFonts w:ascii="宋体" w:eastAsia="宋体" w:hAnsi="宋体" w:cs="宋体"/>
        </w:rPr>
        <w:t>提高学院</w:t>
      </w:r>
      <w:r>
        <w:rPr>
          <w:sz w:val="28"/>
          <w:szCs w:val="28"/>
          <w:rFonts w:ascii="宋体" w:eastAsia="宋体" w:hAnsi="宋体" w:cs="宋体" w:hint="eastAsia"/>
        </w:rPr>
        <w:t>在线开放课程建设进度和</w:t>
      </w:r>
      <w:r>
        <w:rPr>
          <w:sz w:val="28"/>
          <w:szCs w:val="28"/>
          <w:rFonts w:ascii="宋体" w:eastAsia="宋体" w:hAnsi="宋体" w:cs="宋体"/>
        </w:rPr>
        <w:t>教学信息化</w:t>
      </w:r>
      <w:r>
        <w:rPr>
          <w:sz w:val="28"/>
          <w:szCs w:val="28"/>
          <w:rFonts w:ascii="宋体" w:eastAsia="宋体" w:hAnsi="宋体" w:cs="宋体" w:hint="eastAsia"/>
        </w:rPr>
        <w:t>程度。</w:t>
      </w:r>
    </w:p>
    <w:p>
      <w:pPr>
        <w:jc w:val="both"/>
        <w:spacing w:lineRule="exact" w:line="480" w:before="0" w:after="0"/>
        <w:ind w:firstLine="64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学院将充分利用学习通、职教云等平台，制定自主开发精品课程</w:t>
      </w:r>
      <w:r>
        <w:rPr>
          <w:sz w:val="28"/>
          <w:szCs w:val="28"/>
          <w:rFonts w:ascii="宋体" w:eastAsia="宋体" w:hAnsi="宋体" w:cs="宋体" w:hint="eastAsia"/>
        </w:rPr>
        <w:t>建设规划，分层建设院级在线开放课程、院级、省级、国家级精品在</w:t>
      </w:r>
      <w:r>
        <w:rPr>
          <w:sz w:val="28"/>
          <w:szCs w:val="28"/>
          <w:rFonts w:ascii="宋体" w:eastAsia="宋体" w:hAnsi="宋体" w:cs="宋体" w:hint="eastAsia"/>
        </w:rPr>
        <w:t>线课程，制定在线开放课程建设标准、遴选指标，以避免盲目低水平</w:t>
      </w:r>
      <w:r>
        <w:rPr>
          <w:sz w:val="28"/>
          <w:szCs w:val="28"/>
          <w:rFonts w:ascii="宋体" w:eastAsia="宋体" w:hAnsi="宋体" w:cs="宋体" w:hint="eastAsia"/>
        </w:rPr>
        <w:t>课程开发，对批准立项建设的课程给予经费支持，经费开支范围为：</w:t>
      </w:r>
      <w:r>
        <w:rPr>
          <w:sz w:val="28"/>
          <w:szCs w:val="28"/>
          <w:rFonts w:ascii="宋体" w:eastAsia="宋体" w:hAnsi="宋体" w:cs="宋体" w:hint="eastAsia"/>
        </w:rPr>
        <w:t>教材建设费、资料费、印刷费、耗材费、电子课件、数字化教学资源</w:t>
      </w:r>
      <w:r>
        <w:rPr>
          <w:sz w:val="28"/>
          <w:szCs w:val="28"/>
          <w:rFonts w:ascii="宋体" w:eastAsia="宋体" w:hAnsi="宋体" w:cs="宋体" w:hint="eastAsia"/>
        </w:rPr>
        <w:t>制作、题库建设费、课程软件购置与开发等与项目相关的其他建设费</w:t>
      </w:r>
      <w:r>
        <w:rPr>
          <w:sz w:val="28"/>
          <w:szCs w:val="28"/>
          <w:rFonts w:ascii="宋体" w:eastAsia="宋体" w:hAnsi="宋体" w:cs="宋体" w:hint="eastAsia"/>
        </w:rPr>
        <w:t>用等。</w:t>
      </w:r>
      <w:bookmarkEnd w:id="25"/>
      <w:bookmarkEnd w:id="26"/>
      <w:bookmarkEnd w:id="27"/>
      <w:bookmarkEnd w:id="28"/>
      <w:bookmarkEnd w:id="29"/>
      <w:bookmarkEnd w:id="30"/>
      <w:bookmarkEnd w:id="31"/>
    </w:p>
    <w:p>
      <w:pPr>
        <w:jc w:val="both"/>
        <w:spacing w:lineRule="exact" w:line="480" w:before="0" w:after="0"/>
        <w:ind w:firstLine="640"/>
        <w:rPr>
          <w:sz w:val="28"/>
          <w:szCs w:val="28"/>
          <w:rFonts w:ascii="宋体" w:eastAsia="宋体" w:hAnsi="宋体" w:cs="宋体" w:hint="eastAsia"/>
        </w:rPr>
      </w:pPr>
      <w:r>
        <w:rPr>
          <w:sz w:val="28"/>
          <w:szCs w:val="28"/>
          <w:rFonts w:ascii="宋体" w:eastAsia="宋体" w:hAnsi="宋体" w:cs="宋体" w:hint="eastAsia"/>
        </w:rPr>
        <w:t>进一步</w:t>
      </w:r>
      <w:r>
        <w:rPr>
          <w:sz w:val="28"/>
          <w:szCs w:val="28"/>
          <w:rFonts w:ascii="宋体" w:eastAsia="宋体" w:hAnsi="宋体" w:cs="宋体" w:hint="eastAsia"/>
        </w:rPr>
        <w:t>提升</w:t>
      </w:r>
      <w:r>
        <w:rPr>
          <w:sz w:val="28"/>
          <w:szCs w:val="28"/>
          <w:rFonts w:ascii="宋体" w:eastAsia="宋体" w:hAnsi="宋体" w:cs="宋体" w:hint="eastAsia"/>
        </w:rPr>
        <w:t>智慧校园</w:t>
      </w:r>
      <w:r>
        <w:rPr>
          <w:sz w:val="28"/>
          <w:szCs w:val="28"/>
          <w:rFonts w:ascii="宋体" w:eastAsia="宋体" w:hAnsi="宋体" w:cs="宋体" w:hint="eastAsia"/>
        </w:rPr>
        <w:t>建设水平</w:t>
      </w:r>
      <w:r>
        <w:rPr>
          <w:sz w:val="28"/>
          <w:szCs w:val="28"/>
          <w:rFonts w:ascii="宋体" w:eastAsia="宋体" w:hAnsi="宋体" w:cs="宋体" w:hint="eastAsia"/>
        </w:rPr>
        <w:t>，彻底打破数据孤岛和系统孤岛，</w:t>
      </w:r>
      <w:r>
        <w:rPr>
          <w:sz w:val="28"/>
          <w:szCs w:val="28"/>
          <w:rFonts w:ascii="宋体" w:eastAsia="宋体" w:hAnsi="宋体" w:cs="宋体" w:hint="eastAsia"/>
        </w:rPr>
        <w:t>让管理、教学等变得更加“智慧”。</w:t>
      </w:r>
    </w:p>
    <w:sectPr>
      <w:pgSz w:w="11906" w:h="16838"/>
      <w:pgMar w:top="1440" w:left="1800" w:bottom="1440" w:right="1800" w:header="851" w:footer="992" w:gutter="0"/>
      <w:pgNumType w:fmt="decimal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50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"/>
    <w:family w:val="roman"/>
    <w:pitch w:val="variable"/>
    <w:sig w:usb0="e00002ff" w:usb1="400004ff" w:usb2="00000000" w:usb3="00000000" w:csb0="0000019f" w:csb1="00000000"/>
  </w:font>
</w:fonts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3"/>
      <w:rPr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3"/>
      <w:rPr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3"/>
      <w:rPr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1"/>
      <w:pBdr>
        <w:bottom w:val="nil" w:sz="0" w:space="0" w:color="000000"/>
      </w:pBdr>
      <w:rPr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1"/>
      <w:pBdr>
        <w:bottom w:val="nil" w:sz="0" w:space="0" w:color="000000"/>
      </w:pBdr>
      <w:rPr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pStyle w:val="PO151"/>
      <w:rPr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0014"/>
    <w:lvl w:ilvl="0">
      <w:lvlJc w:val="left"/>
      <w:numFmt w:val="decimal"/>
      <w:start w:val="2"/>
      <w:suff w:val="tab"/>
      <w:rPr/>
      <w:lvlText w:val="%1."/>
    </w:lvl>
    <w:lvl w:ilvl="1">
      <w:lvlJc w:val="left"/>
      <w:numFmt w:val="bullet"/>
      <w:start w:val="1"/>
      <w:suff w:val="tab"/>
      <w:rPr/>
      <w:lvlText w:val=""/>
    </w:lvl>
    <w:lvl w:ilvl="2">
      <w:lvlJc w:val="left"/>
      <w:numFmt w:val="bullet"/>
      <w:start w:val="1"/>
      <w:suff w:val="tab"/>
      <w:rPr/>
      <w:lvlText w:val=""/>
    </w:lvl>
    <w:lvl w:ilvl="3">
      <w:lvlJc w:val="left"/>
      <w:numFmt w:val="bullet"/>
      <w:start w:val="1"/>
      <w:suff w:val="tab"/>
      <w:rPr/>
      <w:lvlText w:val=""/>
    </w:lvl>
    <w:lvl w:ilvl="4">
      <w:lvlJc w:val="left"/>
      <w:numFmt w:val="bullet"/>
      <w:start w:val="1"/>
      <w:suff w:val="tab"/>
      <w:rPr/>
      <w:lvlText w:val=""/>
    </w:lvl>
    <w:lvl w:ilvl="5">
      <w:lvlJc w:val="left"/>
      <w:numFmt w:val="bullet"/>
      <w:start w:val="1"/>
      <w:suff w:val="tab"/>
      <w:rPr/>
      <w:lvlText w:val=""/>
    </w:lvl>
    <w:lvl w:ilvl="6">
      <w:lvlJc w:val="left"/>
      <w:numFmt w:val="bullet"/>
      <w:start w:val="1"/>
      <w:suff w:val="tab"/>
      <w:rPr/>
      <w:lvlText w:val=""/>
    </w:lvl>
    <w:lvl w:ilvl="7">
      <w:lvlJc w:val="left"/>
      <w:numFmt w:val="bullet"/>
      <w:start w:val="1"/>
      <w:suff w:val="tab"/>
      <w:rPr/>
      <w:lvlText w:val=""/>
    </w:lvl>
    <w:lvl w:ilvl="8">
      <w:lvlJc w:val="left"/>
      <w:numFmt w:val="bullet"/>
      <w:start w:val="1"/>
      <w:suff w:val="tab"/>
      <w:rPr/>
      <w:lvlText w:val=""/>
    </w:lvl>
  </w:abstractNum>
  <w:abstractNum w:abstractNumId="1">
    <w:multiLevelType w:val="hybridMultilevel"/>
    <w:nsid w:val="2F000001"/>
    <w:tmpl w:val="1F002411"/>
    <w:lvl w:ilvl="0">
      <w:lvlJc w:val="left"/>
      <w:numFmt w:val="japaneseCounting"/>
      <w:start w:val="1"/>
      <w:suff w:val="tab"/>
      <w:pPr>
        <w:ind w:left="960" w:hanging="480"/>
        <w:rPr/>
      </w:pPr>
      <w:rPr>
        <w:rFonts w:hint="default"/>
      </w:rPr>
      <w:lvlText w:val="%1、"/>
    </w:lvl>
    <w:lvl w:ilvl="1">
      <w:lvlJc w:val="left"/>
      <w:numFmt w:val="lowerLetter"/>
      <w:start w:val="1"/>
      <w:suff w:val="tab"/>
      <w:pPr>
        <w:ind w:left="1320" w:hanging="420"/>
        <w:rPr/>
      </w:pPr>
      <w:rPr/>
      <w:lvlText w:val="%2)"/>
    </w:lvl>
    <w:lvl w:ilvl="2">
      <w:lvlJc w:val="right"/>
      <w:numFmt w:val="lowerRoman"/>
      <w:start w:val="1"/>
      <w:suff w:val="tab"/>
      <w:pPr>
        <w:ind w:left="1740" w:hanging="420"/>
        <w:rPr/>
      </w:pPr>
      <w:rPr/>
      <w:lvlText w:val="%3."/>
    </w:lvl>
    <w:lvl w:ilvl="3">
      <w:lvlJc w:val="left"/>
      <w:numFmt w:val="decimal"/>
      <w:start w:val="1"/>
      <w:suff w:val="tab"/>
      <w:pPr>
        <w:ind w:left="2160" w:hanging="420"/>
        <w:rPr/>
      </w:pPr>
      <w:rPr/>
      <w:lvlText w:val="%4."/>
    </w:lvl>
    <w:lvl w:ilvl="4">
      <w:lvlJc w:val="left"/>
      <w:numFmt w:val="lowerLetter"/>
      <w:start w:val="1"/>
      <w:suff w:val="tab"/>
      <w:pPr>
        <w:ind w:left="2580" w:hanging="420"/>
        <w:rPr/>
      </w:pPr>
      <w:rPr/>
      <w:lvlText w:val="%5)"/>
    </w:lvl>
    <w:lvl w:ilvl="5">
      <w:lvlJc w:val="right"/>
      <w:numFmt w:val="lowerRoman"/>
      <w:start w:val="1"/>
      <w:suff w:val="tab"/>
      <w:pPr>
        <w:ind w:left="3000" w:hanging="420"/>
        <w:rPr/>
      </w:pPr>
      <w:rPr/>
      <w:lvlText w:val="%6."/>
    </w:lvl>
    <w:lvl w:ilvl="6">
      <w:lvlJc w:val="left"/>
      <w:numFmt w:val="decimal"/>
      <w:start w:val="1"/>
      <w:suff w:val="tab"/>
      <w:pPr>
        <w:ind w:left="3420" w:hanging="420"/>
        <w:rPr/>
      </w:pPr>
      <w:rPr/>
      <w:lvlText w:val="%7."/>
    </w:lvl>
    <w:lvl w:ilvl="7">
      <w:lvlJc w:val="left"/>
      <w:numFmt w:val="lowerLetter"/>
      <w:start w:val="1"/>
      <w:suff w:val="tab"/>
      <w:pPr>
        <w:ind w:left="3840" w:hanging="420"/>
        <w:rPr/>
      </w:pPr>
      <w:rPr/>
      <w:lvlText w:val="%8)"/>
    </w:lvl>
    <w:lvl w:ilvl="8">
      <w:lvlJc w:val="right"/>
      <w:numFmt w:val="lowerRoman"/>
      <w:start w:val="1"/>
      <w:suff w:val="tab"/>
      <w:pPr>
        <w:ind w:left="4260" w:hanging="420"/>
        <w:rPr/>
      </w:pPr>
      <w:rPr/>
      <w:lvlText w:val="%9."/>
    </w:lvl>
  </w:abstractNum>
  <w:abstractNum w:abstractNumId="2">
    <w:multiLevelType w:val="hybridMultilevel"/>
    <w:nsid w:val="2F000002"/>
    <w:tmpl w:val="1F000C5F"/>
    <w:lvl w:ilvl="0">
      <w:lvlJc w:val="left"/>
      <w:numFmt w:val="decimal"/>
      <w:start w:val="1"/>
      <w:suff w:val="tab"/>
      <w:pPr>
        <w:ind w:left="980" w:hanging="360"/>
        <w:rPr/>
      </w:pPr>
      <w:rPr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60" w:hanging="420"/>
        <w:rPr/>
      </w:pPr>
      <w:rPr/>
      <w:lvlText w:val="%2)"/>
    </w:lvl>
    <w:lvl w:ilvl="2">
      <w:lvlJc w:val="right"/>
      <w:numFmt w:val="lowerRoman"/>
      <w:start w:val="1"/>
      <w:suff w:val="tab"/>
      <w:pPr>
        <w:ind w:left="1880" w:hanging="420"/>
        <w:rPr/>
      </w:pPr>
      <w:rPr/>
      <w:lvlText w:val="%3."/>
    </w:lvl>
    <w:lvl w:ilvl="3">
      <w:lvlJc w:val="left"/>
      <w:numFmt w:val="decimal"/>
      <w:start w:val="1"/>
      <w:suff w:val="tab"/>
      <w:pPr>
        <w:ind w:left="2300" w:hanging="420"/>
        <w:rPr/>
      </w:pPr>
      <w:rPr/>
      <w:lvlText w:val="%4."/>
    </w:lvl>
    <w:lvl w:ilvl="4">
      <w:lvlJc w:val="left"/>
      <w:numFmt w:val="lowerLetter"/>
      <w:start w:val="1"/>
      <w:suff w:val="tab"/>
      <w:pPr>
        <w:ind w:left="2720" w:hanging="420"/>
        <w:rPr/>
      </w:pPr>
      <w:rPr/>
      <w:lvlText w:val="%5)"/>
    </w:lvl>
    <w:lvl w:ilvl="5">
      <w:lvlJc w:val="right"/>
      <w:numFmt w:val="lowerRoman"/>
      <w:start w:val="1"/>
      <w:suff w:val="tab"/>
      <w:pPr>
        <w:ind w:left="3140" w:hanging="420"/>
        <w:rPr/>
      </w:pPr>
      <w:rPr/>
      <w:lvlText w:val="%6."/>
    </w:lvl>
    <w:lvl w:ilvl="6">
      <w:lvlJc w:val="left"/>
      <w:numFmt w:val="decimal"/>
      <w:start w:val="1"/>
      <w:suff w:val="tab"/>
      <w:pPr>
        <w:ind w:left="3560" w:hanging="420"/>
        <w:rPr/>
      </w:pPr>
      <w:rPr/>
      <w:lvlText w:val="%7."/>
    </w:lvl>
    <w:lvl w:ilvl="7">
      <w:lvlJc w:val="left"/>
      <w:numFmt w:val="lowerLetter"/>
      <w:start w:val="1"/>
      <w:suff w:val="tab"/>
      <w:pPr>
        <w:ind w:left="3980" w:hanging="420"/>
        <w:rPr/>
      </w:pPr>
      <w:rPr/>
      <w:lvlText w:val="%8)"/>
    </w:lvl>
    <w:lvl w:ilvl="8">
      <w:lvlJc w:val="right"/>
      <w:numFmt w:val="lowerRoman"/>
      <w:start w:val="1"/>
      <w:suff w:val="tab"/>
      <w:pPr>
        <w:ind w:left="4400" w:hanging="420"/>
        <w:rPr/>
      </w:pPr>
      <w:rPr/>
      <w:lvlText w:val="%9."/>
    </w:lvl>
  </w:abstractNum>
  <w:abstractNum w:abstractNumId="3">
    <w:multiLevelType w:val="hybridMultilevel"/>
    <w:nsid w:val="2F000003"/>
    <w:tmpl w:val="1F0033C2"/>
    <w:lvl w:ilvl="0">
      <w:lvlJc w:val="left"/>
      <w:numFmt w:val="japaneseCounting"/>
      <w:start w:val="1"/>
      <w:suff w:val="tab"/>
      <w:pPr>
        <w:ind w:left="1080" w:hanging="1080"/>
        <w:rPr/>
      </w:pPr>
      <w:rPr>
        <w:rFonts w:hint="default"/>
      </w:rPr>
      <w:lvlText w:val="（%1）"/>
    </w:lvl>
    <w:lvl w:ilvl="1">
      <w:lvlJc w:val="left"/>
      <w:numFmt w:val="lowerLetter"/>
      <w:start w:val="1"/>
      <w:suff w:val="tab"/>
      <w:pPr>
        <w:ind w:left="840" w:hanging="420"/>
        <w:rPr/>
      </w:pPr>
      <w:rPr/>
      <w:lvlText w:val="%2)"/>
    </w:lvl>
    <w:lvl w:ilvl="2">
      <w:lvlJc w:val="right"/>
      <w:numFmt w:val="lowerRoman"/>
      <w:start w:val="1"/>
      <w:suff w:val="tab"/>
      <w:pPr>
        <w:ind w:left="1260" w:hanging="420"/>
        <w:rPr/>
      </w:pPr>
      <w:rPr/>
      <w:lvlText w:val="%3."/>
    </w:lvl>
    <w:lvl w:ilvl="3">
      <w:lvlJc w:val="left"/>
      <w:numFmt w:val="decimal"/>
      <w:start w:val="1"/>
      <w:suff w:val="tab"/>
      <w:pPr>
        <w:ind w:left="1680" w:hanging="420"/>
        <w:rPr/>
      </w:pPr>
      <w:rPr/>
      <w:lvlText w:val="%4."/>
    </w:lvl>
    <w:lvl w:ilvl="4">
      <w:lvlJc w:val="left"/>
      <w:numFmt w:val="lowerLetter"/>
      <w:start w:val="1"/>
      <w:suff w:val="tab"/>
      <w:pPr>
        <w:ind w:left="2100" w:hanging="420"/>
        <w:rPr/>
      </w:pPr>
      <w:rPr/>
      <w:lvlText w:val="%5)"/>
    </w:lvl>
    <w:lvl w:ilvl="5">
      <w:lvlJc w:val="right"/>
      <w:numFmt w:val="lowerRoman"/>
      <w:start w:val="1"/>
      <w:suff w:val="tab"/>
      <w:pPr>
        <w:ind w:left="2520" w:hanging="420"/>
        <w:rPr/>
      </w:pPr>
      <w:rPr/>
      <w:lvlText w:val="%6."/>
    </w:lvl>
    <w:lvl w:ilvl="6">
      <w:lvlJc w:val="left"/>
      <w:numFmt w:val="decimal"/>
      <w:start w:val="1"/>
      <w:suff w:val="tab"/>
      <w:pPr>
        <w:ind w:left="2940" w:hanging="420"/>
        <w:rPr/>
      </w:pPr>
      <w:rPr/>
      <w:lvlText w:val="%7."/>
    </w:lvl>
    <w:lvl w:ilvl="7">
      <w:lvlJc w:val="left"/>
      <w:numFmt w:val="lowerLetter"/>
      <w:start w:val="1"/>
      <w:suff w:val="tab"/>
      <w:pPr>
        <w:ind w:left="3360" w:hanging="420"/>
        <w:rPr/>
      </w:pPr>
      <w:rPr/>
      <w:lvlText w:val="%8)"/>
    </w:lvl>
    <w:lvl w:ilvl="8">
      <w:lvlJc w:val="right"/>
      <w:numFmt w:val="lowerRoman"/>
      <w:start w:val="1"/>
      <w:suff w:val="tab"/>
      <w:pPr>
        <w:ind w:left="3780" w:hanging="420"/>
        <w:rPr/>
      </w:pPr>
      <w:rPr/>
      <w:lvlText w:val="%9."/>
    </w:lvl>
  </w:abstractNum>
  <w:abstractNum w:abstractNumId="4">
    <w:multiLevelType w:val="hybridMultilevel"/>
    <w:nsid w:val="2F000004"/>
    <w:tmpl w:val="1F002570"/>
    <w:lvl w:ilvl="0">
      <w:lvlJc w:val="left"/>
      <w:numFmt w:val="bullet"/>
      <w:start w:val="1"/>
      <w:suff w:val="tab"/>
      <w:pPr>
        <w:ind w:left="1340" w:hanging="720"/>
        <w:rPr/>
      </w:pPr>
      <w:rPr>
        <w:rFonts w:hint="default"/>
      </w:rPr>
      <w:lvlText w:val=""/>
    </w:lvl>
    <w:lvl w:ilvl="1">
      <w:lvlJc w:val="left"/>
      <w:numFmt w:val="lowerLetter"/>
      <w:start w:val="1"/>
      <w:suff w:val="tab"/>
      <w:pPr>
        <w:ind w:left="1460" w:hanging="420"/>
        <w:rPr/>
      </w:pPr>
      <w:rPr/>
      <w:lvlText w:val="%2)"/>
    </w:lvl>
    <w:lvl w:ilvl="2">
      <w:lvlJc w:val="right"/>
      <w:numFmt w:val="lowerRoman"/>
      <w:start w:val="1"/>
      <w:suff w:val="tab"/>
      <w:pPr>
        <w:ind w:left="1880" w:hanging="420"/>
        <w:rPr/>
      </w:pPr>
      <w:rPr/>
      <w:lvlText w:val="%3."/>
    </w:lvl>
    <w:lvl w:ilvl="3">
      <w:lvlJc w:val="left"/>
      <w:numFmt w:val="decimal"/>
      <w:start w:val="1"/>
      <w:suff w:val="tab"/>
      <w:pPr>
        <w:ind w:left="2300" w:hanging="420"/>
        <w:rPr/>
      </w:pPr>
      <w:rPr/>
      <w:lvlText w:val="%4."/>
    </w:lvl>
    <w:lvl w:ilvl="4">
      <w:lvlJc w:val="left"/>
      <w:numFmt w:val="lowerLetter"/>
      <w:start w:val="1"/>
      <w:suff w:val="tab"/>
      <w:pPr>
        <w:ind w:left="2720" w:hanging="420"/>
        <w:rPr/>
      </w:pPr>
      <w:rPr/>
      <w:lvlText w:val="%5)"/>
    </w:lvl>
    <w:lvl w:ilvl="5">
      <w:lvlJc w:val="right"/>
      <w:numFmt w:val="lowerRoman"/>
      <w:start w:val="1"/>
      <w:suff w:val="tab"/>
      <w:pPr>
        <w:ind w:left="3140" w:hanging="420"/>
        <w:rPr/>
      </w:pPr>
      <w:rPr/>
      <w:lvlText w:val="%6."/>
    </w:lvl>
    <w:lvl w:ilvl="6">
      <w:lvlJc w:val="left"/>
      <w:numFmt w:val="decimal"/>
      <w:start w:val="1"/>
      <w:suff w:val="tab"/>
      <w:pPr>
        <w:ind w:left="3560" w:hanging="420"/>
        <w:rPr/>
      </w:pPr>
      <w:rPr/>
      <w:lvlText w:val="%7."/>
    </w:lvl>
    <w:lvl w:ilvl="7">
      <w:lvlJc w:val="left"/>
      <w:numFmt w:val="lowerLetter"/>
      <w:start w:val="1"/>
      <w:suff w:val="tab"/>
      <w:pPr>
        <w:ind w:left="3980" w:hanging="420"/>
        <w:rPr/>
      </w:pPr>
      <w:rPr/>
      <w:lvlText w:val="%8)"/>
    </w:lvl>
    <w:lvl w:ilvl="8">
      <w:lvlJc w:val="right"/>
      <w:numFmt w:val="lowerRoman"/>
      <w:start w:val="1"/>
      <w:suff w:val="tab"/>
      <w:pPr>
        <w:ind w:left="4400" w:hanging="420"/>
        <w:rPr/>
      </w:pPr>
      <w:rPr/>
      <w:lvlText w:val="%9.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4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sz w:val="32"/>
        <w:szCs w:val="32"/>
        <w:rFonts w:cs="Arial" w:asciiTheme="minorEastAsia" w:eastAsiaTheme="minorEastAsia" w:hAnsiTheme="minorHAnsi"/>
        <w:lang w:bidi="ar-SA" w:eastAsia="zh-CN" w:val="en-US"/>
      </w:rPr>
    </w:rPrDefault>
  </w:docDefaults>
  <w:style w:default="1" w:styleId="PO1" w:type="paragraph">
    <w:name w:val="Normal"/>
    <w:qFormat/>
    <w:uiPriority w:val="1"/>
    <w:rPr>
      <w:rFonts w:ascii="宋体" w:eastAsia="宋体" w:hAnsi="Calibri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qFormat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7" w:type="paragraph">
    <w:name w:val="heading 1"/>
    <w:basedOn w:val="PO1"/>
    <w:next w:val="PO1"/>
    <w:link w:val="PO157"/>
    <w:qFormat/>
    <w:uiPriority w:val="7"/>
    <w:pPr>
      <w:jc w:val="center"/>
      <w:spacing w:lineRule="exact" w:line="480" w:before="120" w:after="120"/>
      <w:rPr/>
      <w:outlineLvl w:val="0"/>
    </w:pPr>
    <w:rPr>
      <w:b w:val="1"/>
    </w:rPr>
  </w:style>
  <w:style w:styleId="PO8" w:type="paragraph">
    <w:name w:val="heading 2"/>
    <w:basedOn w:val="PO1"/>
    <w:next w:val="PO1"/>
    <w:link w:val="PO155"/>
    <w:qFormat/>
    <w:uiPriority w:val="8"/>
    <w:unhideWhenUsed/>
    <w:pPr>
      <w:spacing w:before="160" w:after="160"/>
      <w:ind w:firstLine="482"/>
      <w:rPr/>
      <w:outlineLvl w:val="1"/>
    </w:pPr>
    <w:rPr>
      <w:b w:val="1"/>
      <w:rFonts w:ascii="Arial" w:eastAsia="仿宋" w:hAnsi="Arial"/>
    </w:rPr>
  </w:style>
  <w:style w:styleId="PO9" w:type="paragraph">
    <w:name w:val="heading 3"/>
    <w:basedOn w:val="PO1"/>
    <w:next w:val="PO1"/>
    <w:link w:val="PO161"/>
    <w:qFormat/>
    <w:uiPriority w:val="9"/>
    <w:unhideWhenUsed/>
    <w:pPr>
      <w:spacing w:lineRule="auto" w:line="415" w:before="260" w:after="260"/>
      <w:rPr/>
      <w:outlineLvl w:val="2"/>
    </w:pPr>
    <w:rPr>
      <w:b w:val="1"/>
    </w:rPr>
  </w:style>
  <w:style w:styleId="PO26" w:type="paragraph">
    <w:name w:val="List Paragraph"/>
    <w:basedOn w:val="PO1"/>
    <w:qFormat/>
    <w:uiPriority w:val="26"/>
    <w:pPr>
      <w:ind w:firstLine="420"/>
      <w:rPr/>
    </w:pPr>
    <w:rPr/>
  </w:style>
  <w:style w:styleId="PO27" w:type="paragraph">
    <w:name w:val="TOC Heading"/>
    <w:basedOn w:val="PO7"/>
    <w:next w:val="PO1"/>
    <w:qFormat/>
    <w:uiPriority w:val="27"/>
    <w:unhideWhenUsed/>
    <w:pPr>
      <w:spacing w:lineRule="auto" w:line="276" w:before="480" w:after="0"/>
      <w:rPr/>
      <w:outlineLvl w:val="9"/>
    </w:pPr>
    <w:rPr>
      <w:color w:val="366091" w:themeColor="accent1" w:themeShade="BF"/>
      <w:sz w:val="28"/>
      <w:szCs w:val="28"/>
      <w:rFonts w:asciiTheme="majorHAnsi" w:eastAsiaTheme="majorEastAsia" w:hAnsiTheme="majorHAnsi" w:cstheme="minorBidi"/>
    </w:rPr>
  </w:style>
  <w:style w:styleId="PO28" w:type="paragraph">
    <w:name w:val="toc 1"/>
    <w:basedOn w:val="PO1"/>
    <w:next w:val="PO1"/>
    <w:uiPriority w:val="28"/>
    <w:unhideWhenUsed/>
    <w:pPr>
      <w:tabs>
        <w:tab w:val="right" w:leader="dot" w:pos="8296"/>
      </w:tabs>
      <w:rPr/>
    </w:pPr>
    <w:rPr>
      <w:rFonts w:ascii="仿宋" w:eastAsia="仿宋" w:hAnsi="仿宋"/>
    </w:rPr>
  </w:style>
  <w:style w:styleId="PO30" w:type="paragraph">
    <w:name w:val="toc 3"/>
    <w:basedOn w:val="PO1"/>
    <w:next w:val="PO1"/>
    <w:uiPriority w:val="30"/>
    <w:unhideWhenUsed/>
    <w:pPr>
      <w:spacing w:lineRule="exact" w:line="400"/>
      <w:tabs>
        <w:tab w:val="right" w:leader="dot" w:pos="8296"/>
      </w:tabs>
      <w:rPr/>
    </w:pPr>
    <w:rPr/>
  </w:style>
  <w:style w:styleId="PO37" w:type="table">
    <w:name w:val="Table Grid"/>
    <w:basedOn w:val="PO3"/>
    <w:uiPriority w:val="37"/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Grid Table Light"/>
    <w:basedOn w:val="PO3"/>
    <w:uiPriority w:val="38"/>
    <w:pPr>
      <w:spacing w:lineRule="auto" w:line="240" w:after="0"/>
      <w:rPr/>
    </w:pPr>
    <w:rPr/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9" w:type="table">
    <w:name w:val="Plain Table 1"/>
    <w:basedOn w:val="PO3"/>
    <w:uiPriority w:val="39"/>
    <w:pPr>
      <w:spacing w:lineRule="auto" w:line="240" w:after="0"/>
      <w:rPr/>
    </w:pPr>
    <w:rPr/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EBEBE" w:themeColor="background1" w:themeShade="BE" w:sz="4"/>
        </w:tcBorders>
      </w:tcPr>
    </w:tblStylePr>
  </w:style>
  <w:style w:styleId="PO40" w:type="table">
    <w:name w:val="Plain Table 2"/>
    <w:basedOn w:val="PO3"/>
    <w:uiPriority w:val="40"/>
    <w:pPr>
      <w:spacing w:lineRule="auto" w:line="240" w:after="0"/>
      <w:rPr/>
    </w:pPr>
    <w:rPr/>
    <w:tblPr>
      <w:tblBorders>
        <w:bottom w:val="single" w:color="808080" w:themeColor="text1" w:themeTint="7F" w:sz="4"/>
        <w:top w:val="single" w:color="808080" w:themeColor="text1" w:themeTint="7F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808080" w:themeColor="text1" w:themeTint="7F" w:sz="4"/>
        </w:tcBorders>
      </w:tcPr>
    </w:tblStylePr>
  </w:style>
  <w:style w:styleId="PO41" w:type="table">
    <w:name w:val="Plain Table 3"/>
    <w:basedOn w:val="PO3"/>
    <w:uiPriority w:val="41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caps/>
      </w:rPr>
      <w:tcPr>
        <w:tcBorders>
          <w:right w:val="single" w:color="808080" w:themeColor="text1" w:themeTint="7F" w:sz="4"/>
        </w:tcBorders>
      </w:tcPr>
    </w:tblStylePr>
    <w:tblStylePr w:type="firstRow">
      <w:rPr>
        <w:b w:val="1"/>
        <w:caps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  <w:caps/>
      </w:rPr>
      <w:tcPr>
        <w:tcBorders>
          <w:left w:val="nil"/>
        </w:tcBorders>
      </w:tcPr>
    </w:tblStylePr>
    <w:tblStylePr w:type="lastRow">
      <w:rPr>
        <w:b w:val="1"/>
        <w:caps/>
      </w:rPr>
      <w:tcPr>
        <w:tcBorders>
          <w:top w:val="nil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styleId="PO42" w:type="table">
    <w:name w:val="Plain Table 4"/>
    <w:basedOn w:val="PO3"/>
    <w:uiPriority w:val="42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43" w:type="table">
    <w:name w:val="Plain Table 5"/>
    <w:basedOn w:val="PO3"/>
    <w:uiPriority w:val="43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808080" w:themeColor="text1" w:themeTint="7F" w:sz="4"/>
        </w:tcBorders>
      </w:tcPr>
    </w:tblStylePr>
    <w:tblStylePr w:type="firstRow">
      <w:rPr>
        <w:i w:val="1"/>
        <w:sz w:val="26"/>
        <w:szCs w:val="26"/>
      </w:rPr>
      <w:tcPr>
        <w:shd w:fill="FFFFFF" w:themeFill="background1" w:color="000000" w:val="clear"/>
        <w:tcBorders>
          <w:bottom w:val="single" w:color="808080" w:themeColor="text1" w:themeTint="7F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808080" w:themeColor="text1" w:themeTint="7F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808080" w:themeColor="text1" w:themeTint="7F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44" w:type="table">
    <w:name w:val="Grid Table 1 Light"/>
    <w:basedOn w:val="PO3"/>
    <w:uiPriority w:val="44"/>
    <w:pPr>
      <w:spacing w:lineRule="auto" w:line="240" w:after="0"/>
      <w:rPr/>
    </w:pPr>
    <w:rPr/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2"/>
        </w:tcBorders>
      </w:tcPr>
    </w:tblStylePr>
  </w:style>
  <w:style w:styleId="PO45" w:type="table">
    <w:name w:val="Grid Table 1 Light Accent 1"/>
    <w:basedOn w:val="PO3"/>
    <w:uiPriority w:val="45"/>
    <w:pPr>
      <w:spacing w:lineRule="auto" w:line="240" w:after="0"/>
      <w:rPr/>
    </w:pPr>
    <w:rPr/>
    <w:tblPr>
      <w:tblBorders>
        <w:bottom w:val="single" w:color="B9CDE5" w:themeColor="accent1" w:themeTint="66" w:sz="4"/>
        <w:insideH w:val="single" w:color="B9CDE5" w:themeColor="accent1" w:themeTint="66" w:sz="4"/>
        <w:insideV w:val="single" w:color="B9CDE5" w:themeColor="accent1" w:themeTint="66" w:sz="4"/>
        <w:left w:val="single" w:color="B9CDE5" w:themeColor="accent1" w:themeTint="66" w:sz="4"/>
        <w:right w:val="single" w:color="B9CDE5" w:themeColor="accent1" w:themeTint="66" w:sz="4"/>
        <w:top w:val="single" w:color="B9CDE5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5B3D7" w:themeColor="accen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5B3D7" w:themeColor="accent1" w:themeTint="99" w:sz="2"/>
        </w:tcBorders>
      </w:tcPr>
    </w:tblStylePr>
  </w:style>
  <w:style w:styleId="PO46" w:type="table">
    <w:name w:val="Grid Table 1 Light Accent 2"/>
    <w:basedOn w:val="PO3"/>
    <w:uiPriority w:val="46"/>
    <w:pPr>
      <w:spacing w:lineRule="auto" w:line="240" w:after="0"/>
      <w:rPr/>
    </w:pPr>
    <w:rPr/>
    <w:tblPr>
      <w:tblBorders>
        <w:bottom w:val="single" w:color="E6B9B8" w:themeColor="accent2" w:themeTint="66" w:sz="4"/>
        <w:insideH w:val="single" w:color="E6B9B8" w:themeColor="accent2" w:themeTint="66" w:sz="4"/>
        <w:insideV w:val="single" w:color="E6B9B8" w:themeColor="accent2" w:themeTint="66" w:sz="4"/>
        <w:left w:val="single" w:color="E6B9B8" w:themeColor="accent2" w:themeTint="66" w:sz="4"/>
        <w:right w:val="single" w:color="E6B9B8" w:themeColor="accent2" w:themeTint="66" w:sz="4"/>
        <w:top w:val="single" w:color="E6B9B8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D99694" w:themeColor="accent2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D99694" w:themeColor="accent2" w:themeTint="99" w:sz="2"/>
        </w:tcBorders>
      </w:tcPr>
    </w:tblStylePr>
  </w:style>
  <w:style w:styleId="PO47" w:type="table">
    <w:name w:val="Grid Table 1 Light Accent 3"/>
    <w:basedOn w:val="PO3"/>
    <w:uiPriority w:val="47"/>
    <w:pPr>
      <w:spacing w:lineRule="auto" w:line="240" w:after="0"/>
      <w:rPr/>
    </w:pPr>
    <w:rPr/>
    <w:tblPr>
      <w:tblBorders>
        <w:bottom w:val="single" w:color="D7E4BD" w:themeColor="accent3" w:themeTint="66" w:sz="4"/>
        <w:insideH w:val="single" w:color="D7E4BD" w:themeColor="accent3" w:themeTint="66" w:sz="4"/>
        <w:insideV w:val="single" w:color="D7E4BD" w:themeColor="accent3" w:themeTint="66" w:sz="4"/>
        <w:left w:val="single" w:color="D7E4BD" w:themeColor="accent3" w:themeTint="66" w:sz="4"/>
        <w:right w:val="single" w:color="D7E4BD" w:themeColor="accent3" w:themeTint="66" w:sz="4"/>
        <w:top w:val="single" w:color="D7E4BD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3D69B" w:themeColor="accent3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3D69B" w:themeColor="accent3" w:themeTint="99" w:sz="2"/>
        </w:tcBorders>
      </w:tcPr>
    </w:tblStylePr>
  </w:style>
  <w:style w:styleId="PO48" w:type="table">
    <w:name w:val="Grid Table 1 Light Accent 4"/>
    <w:basedOn w:val="PO3"/>
    <w:uiPriority w:val="48"/>
    <w:pPr>
      <w:spacing w:lineRule="auto" w:line="240" w:after="0"/>
      <w:rPr/>
    </w:pPr>
    <w:rPr/>
    <w:tblPr>
      <w:tblBorders>
        <w:bottom w:val="single" w:color="CCC1DA" w:themeColor="accent4" w:themeTint="66" w:sz="4"/>
        <w:insideH w:val="single" w:color="CCC1DA" w:themeColor="accent4" w:themeTint="66" w:sz="4"/>
        <w:insideV w:val="single" w:color="CCC1DA" w:themeColor="accent4" w:themeTint="66" w:sz="4"/>
        <w:left w:val="single" w:color="CCC1DA" w:themeColor="accent4" w:themeTint="66" w:sz="4"/>
        <w:right w:val="single" w:color="CCC1DA" w:themeColor="accent4" w:themeTint="66" w:sz="4"/>
        <w:top w:val="single" w:color="CCC1DA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B3A2C7" w:themeColor="accent4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3A2C7" w:themeColor="accent4" w:themeTint="99" w:sz="2"/>
        </w:tcBorders>
      </w:tcPr>
    </w:tblStylePr>
  </w:style>
  <w:style w:styleId="PO49" w:type="table">
    <w:name w:val="Grid Table 1 Light Accent 5"/>
    <w:basedOn w:val="PO3"/>
    <w:uiPriority w:val="49"/>
    <w:pPr>
      <w:spacing w:lineRule="auto" w:line="240" w:after="0"/>
      <w:rPr/>
    </w:pPr>
    <w:rPr/>
    <w:tblPr>
      <w:tblBorders>
        <w:bottom w:val="single" w:color="B7DEE8" w:themeColor="accent5" w:themeTint="66" w:sz="4"/>
        <w:insideH w:val="single" w:color="B7DEE8" w:themeColor="accent5" w:themeTint="66" w:sz="4"/>
        <w:insideV w:val="single" w:color="B7DEE8" w:themeColor="accent5" w:themeTint="66" w:sz="4"/>
        <w:left w:val="single" w:color="B7DEE8" w:themeColor="accent5" w:themeTint="66" w:sz="4"/>
        <w:right w:val="single" w:color="B7DEE8" w:themeColor="accent5" w:themeTint="66" w:sz="4"/>
        <w:top w:val="single" w:color="B7DEE8" w:themeColor="accent5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3CDDD" w:themeColor="accent5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3CDDD" w:themeColor="accent5" w:themeTint="99" w:sz="2"/>
        </w:tcBorders>
      </w:tcPr>
    </w:tblStylePr>
  </w:style>
  <w:style w:styleId="PO50" w:type="table">
    <w:name w:val="Grid Table 1 Light Accent 6"/>
    <w:basedOn w:val="PO3"/>
    <w:uiPriority w:val="50"/>
    <w:pPr>
      <w:spacing w:lineRule="auto" w:line="240" w:after="0"/>
      <w:rPr/>
    </w:pPr>
    <w:rPr/>
    <w:tblPr>
      <w:tblBorders>
        <w:bottom w:val="single" w:color="FCD5B5" w:themeColor="accent6" w:themeTint="66" w:sz="4"/>
        <w:insideH w:val="single" w:color="FCD5B5" w:themeColor="accent6" w:themeTint="66" w:sz="4"/>
        <w:insideV w:val="single" w:color="FCD5B5" w:themeColor="accent6" w:themeTint="66" w:sz="4"/>
        <w:left w:val="single" w:color="FCD5B5" w:themeColor="accent6" w:themeTint="66" w:sz="4"/>
        <w:right w:val="single" w:color="FCD5B5" w:themeColor="accent6" w:themeTint="66" w:sz="4"/>
        <w:top w:val="single" w:color="FCD5B5" w:themeColor="accent6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AC090" w:themeColor="accent6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AC090" w:themeColor="accent6" w:themeTint="99" w:sz="2"/>
        </w:tcBorders>
      </w:tcPr>
    </w:tblStylePr>
  </w:style>
  <w:style w:styleId="PO51" w:type="table">
    <w:name w:val="Grid Table 2"/>
    <w:basedOn w:val="PO3"/>
    <w:uiPriority w:val="51"/>
    <w:pPr>
      <w:spacing w:lineRule="auto" w:line="240" w:after="0"/>
      <w:rPr/>
    </w:pPr>
    <w:rPr/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666666" w:themeColor="text1" w:themeTint="99" w:sz="2"/>
        </w:tcBorders>
      </w:tcPr>
    </w:tblStylePr>
  </w:style>
  <w:style w:styleId="PO52" w:type="table">
    <w:name w:val="Grid Table 2 Accent 1"/>
    <w:basedOn w:val="PO3"/>
    <w:uiPriority w:val="52"/>
    <w:pPr>
      <w:spacing w:lineRule="auto" w:line="240" w:after="0"/>
      <w:rPr/>
    </w:pPr>
    <w:rPr/>
    <w:tblPr>
      <w:tblBorders>
        <w:bottom w:val="single" w:color="95B3D7" w:themeColor="accent1" w:themeTint="99" w:sz="2"/>
        <w:insideH w:val="single" w:color="95B3D7" w:themeColor="accent1" w:themeTint="99" w:sz="2"/>
        <w:insideV w:val="single" w:color="95B3D7" w:themeColor="accent1" w:themeTint="99" w:sz="2"/>
        <w:top w:val="single" w:color="95B3D7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95B3D7" w:themeColor="accent1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95B3D7" w:themeColor="accent1" w:themeTint="99" w:sz="2"/>
        </w:tcBorders>
      </w:tcPr>
    </w:tblStylePr>
  </w:style>
  <w:style w:styleId="PO53" w:type="table">
    <w:name w:val="Grid Table 2 Accent 2"/>
    <w:basedOn w:val="PO3"/>
    <w:uiPriority w:val="53"/>
    <w:pPr>
      <w:spacing w:lineRule="auto" w:line="240" w:after="0"/>
      <w:rPr/>
    </w:pPr>
    <w:rPr/>
    <w:tblPr>
      <w:tblBorders>
        <w:bottom w:val="single" w:color="D99694" w:themeColor="accent2" w:themeTint="99" w:sz="2"/>
        <w:insideH w:val="single" w:color="D99694" w:themeColor="accent2" w:themeTint="99" w:sz="2"/>
        <w:insideV w:val="single" w:color="D99694" w:themeColor="accent2" w:themeTint="99" w:sz="2"/>
        <w:top w:val="single" w:color="D99694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D99694" w:themeColor="accent2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D99694" w:themeColor="accent2" w:themeTint="99" w:sz="2"/>
        </w:tcBorders>
      </w:tcPr>
    </w:tblStylePr>
  </w:style>
  <w:style w:styleId="PO54" w:type="table">
    <w:name w:val="Grid Table 2 Accent 3"/>
    <w:basedOn w:val="PO3"/>
    <w:uiPriority w:val="54"/>
    <w:pPr>
      <w:spacing w:lineRule="auto" w:line="240" w:after="0"/>
      <w:rPr/>
    </w:pPr>
    <w:rPr/>
    <w:tblPr>
      <w:tblBorders>
        <w:bottom w:val="single" w:color="C3D69B" w:themeColor="accent3" w:themeTint="99" w:sz="2"/>
        <w:insideH w:val="single" w:color="C3D69B" w:themeColor="accent3" w:themeTint="99" w:sz="2"/>
        <w:insideV w:val="single" w:color="C3D69B" w:themeColor="accent3" w:themeTint="99" w:sz="2"/>
        <w:top w:val="single" w:color="C3D69B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C3D69B" w:themeColor="accent3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C3D69B" w:themeColor="accent3" w:themeTint="99" w:sz="2"/>
        </w:tcBorders>
      </w:tcPr>
    </w:tblStylePr>
  </w:style>
  <w:style w:styleId="PO55" w:type="table">
    <w:name w:val="Grid Table 2 Accent 4"/>
    <w:basedOn w:val="PO3"/>
    <w:uiPriority w:val="55"/>
    <w:pPr>
      <w:spacing w:lineRule="auto" w:line="240" w:after="0"/>
      <w:rPr/>
    </w:pPr>
    <w:rPr/>
    <w:tblPr>
      <w:tblBorders>
        <w:bottom w:val="single" w:color="B3A2C7" w:themeColor="accent4" w:themeTint="99" w:sz="2"/>
        <w:insideH w:val="single" w:color="B3A2C7" w:themeColor="accent4" w:themeTint="99" w:sz="2"/>
        <w:insideV w:val="single" w:color="B3A2C7" w:themeColor="accent4" w:themeTint="99" w:sz="2"/>
        <w:top w:val="single" w:color="B3A2C7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B3A2C7" w:themeColor="accent4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B3A2C7" w:themeColor="accent4" w:themeTint="99" w:sz="2"/>
        </w:tcBorders>
      </w:tcPr>
    </w:tblStylePr>
  </w:style>
  <w:style w:styleId="PO56" w:type="table">
    <w:name w:val="Grid Table 2 Accent 5"/>
    <w:basedOn w:val="PO3"/>
    <w:uiPriority w:val="56"/>
    <w:pPr>
      <w:spacing w:lineRule="auto" w:line="240" w:after="0"/>
      <w:rPr/>
    </w:pPr>
    <w:rPr/>
    <w:tblPr>
      <w:tblBorders>
        <w:bottom w:val="single" w:color="93CDDD" w:themeColor="accent5" w:themeTint="99" w:sz="2"/>
        <w:insideH w:val="single" w:color="93CDDD" w:themeColor="accent5" w:themeTint="99" w:sz="2"/>
        <w:insideV w:val="single" w:color="93CDDD" w:themeColor="accent5" w:themeTint="99" w:sz="2"/>
        <w:top w:val="single" w:color="93CDDD" w:themeColor="accent5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93CDDD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93CDDD" w:themeColor="accent5" w:themeTint="99" w:sz="2"/>
        </w:tcBorders>
      </w:tcPr>
    </w:tblStylePr>
  </w:style>
  <w:style w:styleId="PO57" w:type="table">
    <w:name w:val="Grid Table 2 Accent 6"/>
    <w:basedOn w:val="PO3"/>
    <w:uiPriority w:val="57"/>
    <w:pPr>
      <w:spacing w:lineRule="auto" w:line="240" w:after="0"/>
      <w:rPr/>
    </w:pPr>
    <w:rPr/>
    <w:tblPr>
      <w:tblBorders>
        <w:bottom w:val="single" w:color="FAC090" w:themeColor="accent6" w:themeTint="99" w:sz="2"/>
        <w:insideH w:val="single" w:color="FAC090" w:themeColor="accent6" w:themeTint="99" w:sz="2"/>
        <w:insideV w:val="single" w:color="FAC090" w:themeColor="accent6" w:themeTint="99" w:sz="2"/>
        <w:top w:val="single" w:color="FAC090" w:themeColor="accent6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FAC090" w:themeColor="accent6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AC090" w:themeColor="accent6" w:themeTint="99" w:sz="2"/>
        </w:tcBorders>
      </w:tcPr>
    </w:tblStylePr>
  </w:style>
  <w:style w:styleId="PO58" w:type="table">
    <w:name w:val="Grid Table 3"/>
    <w:basedOn w:val="PO3"/>
    <w:uiPriority w:val="58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59" w:type="table">
    <w:name w:val="Grid Table 3 Accent 1"/>
    <w:basedOn w:val="PO3"/>
    <w:uiPriority w:val="59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5B3D7" w:themeColor="accent1" w:themeTint="99" w:sz="4"/>
        </w:tcBorders>
      </w:tcPr>
    </w:tblStylePr>
    <w:tblStylePr w:type="nwCell">
      <w:tcPr>
        <w:tcBorders>
          <w:bottom w:val="single" w:color="95B3D7" w:themeColor="accent1" w:themeTint="99" w:sz="4"/>
        </w:tcBorders>
      </w:tcPr>
    </w:tblStylePr>
    <w:tblStylePr w:type="seCell">
      <w:tcPr>
        <w:tcBorders>
          <w:top w:val="single" w:color="95B3D7" w:themeColor="accent1" w:themeTint="99" w:sz="4"/>
        </w:tcBorders>
      </w:tcPr>
    </w:tblStylePr>
    <w:tblStylePr w:type="swCell">
      <w:tcPr>
        <w:tcBorders>
          <w:top w:val="single" w:color="95B3D7" w:themeColor="accent1" w:themeTint="99" w:sz="4"/>
        </w:tcBorders>
      </w:tcPr>
    </w:tblStylePr>
  </w:style>
  <w:style w:styleId="PO60" w:type="table">
    <w:name w:val="Grid Table 3 Accent 2"/>
    <w:basedOn w:val="PO3"/>
    <w:uiPriority w:val="60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D99694" w:themeColor="accent2" w:themeTint="99" w:sz="4"/>
        </w:tcBorders>
      </w:tcPr>
    </w:tblStylePr>
    <w:tblStylePr w:type="nwCell">
      <w:tcPr>
        <w:tcBorders>
          <w:bottom w:val="single" w:color="D99694" w:themeColor="accent2" w:themeTint="99" w:sz="4"/>
        </w:tcBorders>
      </w:tcPr>
    </w:tblStylePr>
    <w:tblStylePr w:type="seCell">
      <w:tcPr>
        <w:tcBorders>
          <w:top w:val="single" w:color="D99694" w:themeColor="accent2" w:themeTint="99" w:sz="4"/>
        </w:tcBorders>
      </w:tcPr>
    </w:tblStylePr>
    <w:tblStylePr w:type="swCell">
      <w:tcPr>
        <w:tcBorders>
          <w:top w:val="single" w:color="D99694" w:themeColor="accent2" w:themeTint="99" w:sz="4"/>
        </w:tcBorders>
      </w:tcPr>
    </w:tblStylePr>
  </w:style>
  <w:style w:styleId="PO61" w:type="table">
    <w:name w:val="Grid Table 3 Accent 3"/>
    <w:basedOn w:val="PO3"/>
    <w:uiPriority w:val="61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3D69B" w:themeColor="accent3" w:themeTint="99" w:sz="4"/>
        </w:tcBorders>
      </w:tcPr>
    </w:tblStylePr>
    <w:tblStylePr w:type="nwCell">
      <w:tcPr>
        <w:tcBorders>
          <w:bottom w:val="single" w:color="C3D69B" w:themeColor="accent3" w:themeTint="99" w:sz="4"/>
        </w:tcBorders>
      </w:tcPr>
    </w:tblStylePr>
    <w:tblStylePr w:type="seCell">
      <w:tcPr>
        <w:tcBorders>
          <w:top w:val="single" w:color="C3D69B" w:themeColor="accent3" w:themeTint="99" w:sz="4"/>
        </w:tcBorders>
      </w:tcPr>
    </w:tblStylePr>
    <w:tblStylePr w:type="swCell">
      <w:tcPr>
        <w:tcBorders>
          <w:top w:val="single" w:color="C3D69B" w:themeColor="accent3" w:themeTint="99" w:sz="4"/>
        </w:tcBorders>
      </w:tcPr>
    </w:tblStylePr>
  </w:style>
  <w:style w:styleId="PO62" w:type="table">
    <w:name w:val="Grid Table 3 Accent 4"/>
    <w:basedOn w:val="PO3"/>
    <w:uiPriority w:val="62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B3A2C7" w:themeColor="accent4" w:themeTint="99" w:sz="4"/>
        </w:tcBorders>
      </w:tcPr>
    </w:tblStylePr>
    <w:tblStylePr w:type="nwCell">
      <w:tcPr>
        <w:tcBorders>
          <w:bottom w:val="single" w:color="B3A2C7" w:themeColor="accent4" w:themeTint="99" w:sz="4"/>
        </w:tcBorders>
      </w:tcPr>
    </w:tblStylePr>
    <w:tblStylePr w:type="seCell">
      <w:tcPr>
        <w:tcBorders>
          <w:top w:val="single" w:color="B3A2C7" w:themeColor="accent4" w:themeTint="99" w:sz="4"/>
        </w:tcBorders>
      </w:tcPr>
    </w:tblStylePr>
    <w:tblStylePr w:type="swCell">
      <w:tcPr>
        <w:tcBorders>
          <w:top w:val="single" w:color="B3A2C7" w:themeColor="accent4" w:themeTint="99" w:sz="4"/>
        </w:tcBorders>
      </w:tcPr>
    </w:tblStylePr>
  </w:style>
  <w:style w:styleId="PO63" w:type="table">
    <w:name w:val="Grid Table 3 Accent 5"/>
    <w:basedOn w:val="PO3"/>
    <w:uiPriority w:val="63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3CDDD" w:themeColor="accent5" w:themeTint="99" w:sz="4"/>
        </w:tcBorders>
      </w:tcPr>
    </w:tblStylePr>
    <w:tblStylePr w:type="nwCell">
      <w:tcPr>
        <w:tcBorders>
          <w:bottom w:val="single" w:color="93CDDD" w:themeColor="accent5" w:themeTint="99" w:sz="4"/>
        </w:tcBorders>
      </w:tcPr>
    </w:tblStylePr>
    <w:tblStylePr w:type="seCell">
      <w:tcPr>
        <w:tcBorders>
          <w:top w:val="single" w:color="93CDDD" w:themeColor="accent5" w:themeTint="99" w:sz="4"/>
        </w:tcBorders>
      </w:tcPr>
    </w:tblStylePr>
    <w:tblStylePr w:type="swCell">
      <w:tcPr>
        <w:tcBorders>
          <w:top w:val="single" w:color="93CDDD" w:themeColor="accent5" w:themeTint="99" w:sz="4"/>
        </w:tcBorders>
      </w:tcPr>
    </w:tblStylePr>
  </w:style>
  <w:style w:styleId="PO64" w:type="table">
    <w:name w:val="Grid Table 3 Accent 6"/>
    <w:basedOn w:val="PO3"/>
    <w:uiPriority w:val="64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AC090" w:themeColor="accent6" w:themeTint="99" w:sz="4"/>
        </w:tcBorders>
      </w:tcPr>
    </w:tblStylePr>
    <w:tblStylePr w:type="nwCell">
      <w:tcPr>
        <w:tcBorders>
          <w:bottom w:val="single" w:color="FAC090" w:themeColor="accent6" w:themeTint="99" w:sz="4"/>
        </w:tcBorders>
      </w:tcPr>
    </w:tblStylePr>
    <w:tblStylePr w:type="seCell">
      <w:tcPr>
        <w:tcBorders>
          <w:top w:val="single" w:color="FAC090" w:themeColor="accent6" w:themeTint="99" w:sz="4"/>
        </w:tcBorders>
      </w:tcPr>
    </w:tblStylePr>
    <w:tblStylePr w:type="swCell">
      <w:tcPr>
        <w:tcBorders>
          <w:top w:val="single" w:color="FAC090" w:themeColor="accent6" w:themeTint="99" w:sz="4"/>
        </w:tcBorders>
      </w:tcPr>
    </w:tblStylePr>
  </w:style>
  <w:style w:styleId="PO65" w:type="table">
    <w:name w:val="Grid Table 4"/>
    <w:basedOn w:val="PO3"/>
    <w:uiPriority w:val="65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000000" w:themeColor="text1" w:sz="4"/>
        </w:tcBorders>
      </w:tcPr>
    </w:tblStylePr>
  </w:style>
  <w:style w:styleId="PO66" w:type="table">
    <w:name w:val="Grid Table 4 Accent 1"/>
    <w:basedOn w:val="PO3"/>
    <w:uiPriority w:val="66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4F81BD" w:themeColor="accent1" w:sz="4"/>
          <w:insideH w:val="nil"/>
          <w:insideV w:val="nil"/>
          <w:left w:val="single" w:color="4F81BD" w:themeColor="accent1" w:sz="4"/>
          <w:right w:val="single" w:color="4F81BD" w:themeColor="accent1" w:sz="4"/>
          <w:top w:val="single" w:color="4F81BD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F81BD" w:themeColor="accent1" w:sz="4"/>
        </w:tcBorders>
      </w:tcPr>
    </w:tblStylePr>
  </w:style>
  <w:style w:styleId="PO67" w:type="table">
    <w:name w:val="Grid Table 4 Accent 2"/>
    <w:basedOn w:val="PO3"/>
    <w:uiPriority w:val="67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C0504D" w:themeColor="accent2" w:sz="4"/>
          <w:insideH w:val="nil"/>
          <w:insideV w:val="nil"/>
          <w:left w:val="single" w:color="C0504D" w:themeColor="accent2" w:sz="4"/>
          <w:right w:val="single" w:color="C0504D" w:themeColor="accent2" w:sz="4"/>
          <w:top w:val="single" w:color="C0504D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0504D" w:themeColor="accent2" w:sz="4"/>
        </w:tcBorders>
      </w:tcPr>
    </w:tblStylePr>
  </w:style>
  <w:style w:styleId="PO68" w:type="table">
    <w:name w:val="Grid Table 4 Accent 3"/>
    <w:basedOn w:val="PO3"/>
    <w:uiPriority w:val="68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9BBB59" w:themeColor="accent3" w:sz="4"/>
          <w:insideH w:val="nil"/>
          <w:insideV w:val="nil"/>
          <w:left w:val="single" w:color="9BBB59" w:themeColor="accent3" w:sz="4"/>
          <w:right w:val="single" w:color="9BBB59" w:themeColor="accent3" w:sz="4"/>
          <w:top w:val="single" w:color="9BBB59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BBB59" w:themeColor="accent3" w:sz="4"/>
        </w:tcBorders>
      </w:tcPr>
    </w:tblStylePr>
  </w:style>
  <w:style w:styleId="PO69" w:type="table">
    <w:name w:val="Grid Table 4 Accent 4"/>
    <w:basedOn w:val="PO3"/>
    <w:uiPriority w:val="69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8064A2" w:themeColor="accent4" w:sz="4"/>
          <w:insideH w:val="nil"/>
          <w:insideV w:val="nil"/>
          <w:left w:val="single" w:color="8064A2" w:themeColor="accent4" w:sz="4"/>
          <w:right w:val="single" w:color="8064A2" w:themeColor="accent4" w:sz="4"/>
          <w:top w:val="single" w:color="8064A2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8064A2" w:themeColor="accent4" w:sz="4"/>
        </w:tcBorders>
      </w:tcPr>
    </w:tblStylePr>
  </w:style>
  <w:style w:styleId="PO70" w:type="table">
    <w:name w:val="Grid Table 4 Accent 5"/>
    <w:basedOn w:val="PO3"/>
    <w:uiPriority w:val="70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4BACC6" w:themeColor="accent5" w:sz="4"/>
          <w:insideH w:val="nil"/>
          <w:insideV w:val="nil"/>
          <w:left w:val="single" w:color="4BACC6" w:themeColor="accent5" w:sz="4"/>
          <w:right w:val="single" w:color="4BACC6" w:themeColor="accent5" w:sz="4"/>
          <w:top w:val="single" w:color="4BACC6" w:themeColor="accent5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BACC6" w:themeColor="accent5" w:sz="4"/>
        </w:tcBorders>
      </w:tcPr>
    </w:tblStylePr>
  </w:style>
  <w:style w:styleId="PO71" w:type="table">
    <w:name w:val="Grid Table 4 Accent 6"/>
    <w:basedOn w:val="PO3"/>
    <w:uiPriority w:val="71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79646" w:themeColor="accent6" w:sz="4"/>
          <w:insideH w:val="nil"/>
          <w:insideV w:val="nil"/>
          <w:left w:val="single" w:color="F79646" w:themeColor="accent6" w:sz="4"/>
          <w:right w:val="single" w:color="F79646" w:themeColor="accent6" w:sz="4"/>
          <w:top w:val="single" w:color="F79646" w:themeColor="accent6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79646" w:themeColor="accent6" w:sz="4"/>
        </w:tcBorders>
      </w:tcPr>
    </w:tblStylePr>
  </w:style>
  <w:style w:styleId="PO72" w:type="table">
    <w:name w:val="Grid Table 5 Dark"/>
    <w:basedOn w:val="PO3"/>
    <w:uiPriority w:val="72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cPr>
        <w:shd w:fill="999999" w:themeFill="text1" w:themeFillTint="66" w:color="000000" w:val="clear"/>
      </w:tcPr>
    </w:tblStylePr>
    <w:tblStylePr w:type="band1Vert">
      <w:tcPr>
        <w:shd w:fill="999999" w:themeFill="text1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3" w:type="table">
    <w:name w:val="Grid Table 5 Dark Accent 1"/>
    <w:basedOn w:val="PO3"/>
    <w:uiPriority w:val="73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CE6F2" w:themeFill="accent1" w:themeFillTint="33" w:color="000000" w:val="clear"/>
    </w:tcPr>
    <w:tblStylePr w:type="band1Horz">
      <w:tcPr>
        <w:shd w:fill="B9CDE5" w:themeFill="accent1" w:themeFillTint="66" w:color="000000" w:val="clear"/>
      </w:tcPr>
    </w:tblStylePr>
    <w:tblStylePr w:type="band1Vert">
      <w:tcPr>
        <w:shd w:fill="B9CDE5" w:themeFill="accent1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4" w:type="table">
    <w:name w:val="Grid Table 5 Dark Accent 2"/>
    <w:basedOn w:val="PO3"/>
    <w:uiPriority w:val="74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2DCDB" w:themeFill="accent2" w:themeFillTint="33" w:color="000000" w:val="clear"/>
    </w:tcPr>
    <w:tblStylePr w:type="band1Horz">
      <w:tcPr>
        <w:shd w:fill="E6B9B8" w:themeFill="accent2" w:themeFillTint="66" w:color="000000" w:val="clear"/>
      </w:tcPr>
    </w:tblStylePr>
    <w:tblStylePr w:type="band1Vert">
      <w:tcPr>
        <w:shd w:fill="E6B9B8" w:themeFill="accent2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5" w:type="table">
    <w:name w:val="Grid Table 5 Dark Accent 3"/>
    <w:basedOn w:val="PO3"/>
    <w:uiPriority w:val="75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BF1DE" w:themeFill="accent3" w:themeFillTint="33" w:color="000000" w:val="clear"/>
    </w:tcPr>
    <w:tblStylePr w:type="band1Horz">
      <w:tcPr>
        <w:shd w:fill="D7E4BD" w:themeFill="accent3" w:themeFillTint="66" w:color="000000" w:val="clear"/>
      </w:tcPr>
    </w:tblStylePr>
    <w:tblStylePr w:type="band1Vert">
      <w:tcPr>
        <w:shd w:fill="D7E4BD" w:themeFill="accent3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6" w:type="table">
    <w:name w:val="Grid Table 5 Dark Accent 4"/>
    <w:basedOn w:val="PO3"/>
    <w:uiPriority w:val="76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6E0EC" w:themeFill="accent4" w:themeFillTint="33" w:color="000000" w:val="clear"/>
    </w:tcPr>
    <w:tblStylePr w:type="band1Horz">
      <w:tcPr>
        <w:shd w:fill="CCC1DA" w:themeFill="accent4" w:themeFillTint="66" w:color="000000" w:val="clear"/>
      </w:tcPr>
    </w:tblStylePr>
    <w:tblStylePr w:type="band1Vert">
      <w:tcPr>
        <w:shd w:fill="CCC1DA" w:themeFill="accent4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7" w:type="table">
    <w:name w:val="Grid Table 5 Dark Accent 5"/>
    <w:basedOn w:val="PO3"/>
    <w:uiPriority w:val="77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BEEF4" w:themeFill="accent5" w:themeFillTint="33" w:color="000000" w:val="clear"/>
    </w:tcPr>
    <w:tblStylePr w:type="band1Horz">
      <w:tcPr>
        <w:shd w:fill="B7DEE8" w:themeFill="accent5" w:themeFillTint="66" w:color="000000" w:val="clear"/>
      </w:tcPr>
    </w:tblStylePr>
    <w:tblStylePr w:type="band1Vert">
      <w:tcPr>
        <w:shd w:fill="B7DEE8" w:themeFill="accent5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8" w:type="table">
    <w:name w:val="Grid Table 5 Dark Accent 6"/>
    <w:basedOn w:val="PO3"/>
    <w:uiPriority w:val="78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DEADA" w:themeFill="accent6" w:themeFillTint="33" w:color="000000" w:val="clear"/>
    </w:tcPr>
    <w:tblStylePr w:type="band1Horz">
      <w:tcPr>
        <w:shd w:fill="FCD5B5" w:themeFill="accent6" w:themeFillTint="66" w:color="000000" w:val="clear"/>
      </w:tcPr>
    </w:tblStylePr>
    <w:tblStylePr w:type="band1Vert">
      <w:tcPr>
        <w:shd w:fill="FCD5B5" w:themeFill="accent6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9" w:type="table">
    <w:name w:val="Grid Table 6 Colorful"/>
    <w:basedOn w:val="PO3"/>
    <w:uiPriority w:val="79"/>
    <w:pPr>
      <w:spacing w:lineRule="auto" w:line="240" w:after="0"/>
      <w:rPr/>
    </w:pPr>
    <w:rPr>
      <w:color w:val="000000" w:themeColor="text1" w:themeShade="BE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4"/>
        </w:tcBorders>
      </w:tcPr>
    </w:tblStylePr>
  </w:style>
  <w:style w:styleId="PO80" w:type="table">
    <w:name w:val="Grid Table 6 Colorful Accent 1"/>
    <w:basedOn w:val="PO3"/>
    <w:uiPriority w:val="80"/>
    <w:pPr>
      <w:spacing w:lineRule="auto" w:line="240" w:after="0"/>
      <w:rPr/>
    </w:pPr>
    <w:rPr>
      <w:color w:val="365F91" w:themeColor="accent1" w:themeShade="BE"/>
    </w:r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5B3D7" w:themeColor="accen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5B3D7" w:themeColor="accent1" w:themeTint="99" w:sz="4"/>
        </w:tcBorders>
      </w:tcPr>
    </w:tblStylePr>
  </w:style>
  <w:style w:styleId="PO81" w:type="table">
    <w:name w:val="Grid Table 6 Colorful Accent 2"/>
    <w:basedOn w:val="PO3"/>
    <w:uiPriority w:val="81"/>
    <w:pPr>
      <w:spacing w:lineRule="auto" w:line="240" w:after="0"/>
      <w:rPr/>
    </w:pPr>
    <w:rPr>
      <w:color w:val="943634" w:themeColor="accent2" w:themeShade="BE"/>
    </w:r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D99694" w:themeColor="accent2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D99694" w:themeColor="accent2" w:themeTint="99" w:sz="4"/>
        </w:tcBorders>
      </w:tcPr>
    </w:tblStylePr>
  </w:style>
  <w:style w:styleId="PO82" w:type="table">
    <w:name w:val="Grid Table 6 Colorful Accent 3"/>
    <w:basedOn w:val="PO3"/>
    <w:uiPriority w:val="82"/>
    <w:pPr>
      <w:spacing w:lineRule="auto" w:line="240" w:after="0"/>
      <w:rPr/>
    </w:pPr>
    <w:rPr>
      <w:color w:val="75913B" w:themeColor="accent3" w:themeShade="BE"/>
    </w:r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3D69B" w:themeColor="accent3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3D69B" w:themeColor="accent3" w:themeTint="99" w:sz="4"/>
        </w:tcBorders>
      </w:tcPr>
    </w:tblStylePr>
  </w:style>
  <w:style w:styleId="PO83" w:type="table">
    <w:name w:val="Grid Table 6 Colorful Accent 4"/>
    <w:basedOn w:val="PO3"/>
    <w:uiPriority w:val="83"/>
    <w:pPr>
      <w:spacing w:lineRule="auto" w:line="240" w:after="0"/>
      <w:rPr/>
    </w:pPr>
    <w:rPr>
      <w:color w:val="5F497A" w:themeColor="accent4" w:themeShade="BE"/>
    </w:r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B3A2C7" w:themeColor="accent4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3A2C7" w:themeColor="accent4" w:themeTint="99" w:sz="4"/>
        </w:tcBorders>
      </w:tcPr>
    </w:tblStylePr>
  </w:style>
  <w:style w:styleId="PO84" w:type="table">
    <w:name w:val="Grid Table 6 Colorful Accent 5"/>
    <w:basedOn w:val="PO3"/>
    <w:uiPriority w:val="84"/>
    <w:pPr>
      <w:spacing w:lineRule="auto" w:line="240" w:after="0"/>
      <w:rPr/>
    </w:pPr>
    <w:rPr>
      <w:color w:val="30849A" w:themeColor="accent5" w:themeShade="BE"/>
    </w:r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3CDDD" w:themeColor="accent5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3CDDD" w:themeColor="accent5" w:themeTint="99" w:sz="4"/>
        </w:tcBorders>
      </w:tcPr>
    </w:tblStylePr>
  </w:style>
  <w:style w:styleId="PO85" w:type="table">
    <w:name w:val="Grid Table 6 Colorful Accent 6"/>
    <w:basedOn w:val="PO3"/>
    <w:uiPriority w:val="85"/>
    <w:pPr>
      <w:spacing w:lineRule="auto" w:line="240" w:after="0"/>
      <w:rPr/>
    </w:pPr>
    <w:rPr>
      <w:color w:val="E26B09" w:themeColor="accent6" w:themeShade="BE"/>
    </w:r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AC090" w:themeColor="accent6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AC090" w:themeColor="accent6" w:themeTint="99" w:sz="4"/>
        </w:tcBorders>
      </w:tcPr>
    </w:tblStylePr>
  </w:style>
  <w:style w:styleId="PO86" w:type="table">
    <w:name w:val="Grid Table 7 Colorful"/>
    <w:basedOn w:val="PO3"/>
    <w:uiPriority w:val="86"/>
    <w:pPr>
      <w:spacing w:lineRule="auto" w:line="240" w:after="0"/>
      <w:rPr/>
    </w:pPr>
    <w:rPr>
      <w:color w:val="000000" w:themeColor="text1" w:themeShade="BE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87" w:type="table">
    <w:name w:val="Grid Table 7 Colorful Accent 1"/>
    <w:basedOn w:val="PO3"/>
    <w:uiPriority w:val="87"/>
    <w:pPr>
      <w:spacing w:lineRule="auto" w:line="240" w:after="0"/>
      <w:rPr/>
    </w:pPr>
    <w:rPr>
      <w:color w:val="365F91" w:themeColor="accent1" w:themeShade="BE"/>
    </w:r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5B3D7" w:themeColor="accent1" w:themeTint="99" w:sz="4"/>
        </w:tcBorders>
      </w:tcPr>
    </w:tblStylePr>
    <w:tblStylePr w:type="nwCell">
      <w:tcPr>
        <w:tcBorders>
          <w:bottom w:val="single" w:color="95B3D7" w:themeColor="accent1" w:themeTint="99" w:sz="4"/>
        </w:tcBorders>
      </w:tcPr>
    </w:tblStylePr>
    <w:tblStylePr w:type="seCell">
      <w:tcPr>
        <w:tcBorders>
          <w:top w:val="single" w:color="95B3D7" w:themeColor="accent1" w:themeTint="99" w:sz="4"/>
        </w:tcBorders>
      </w:tcPr>
    </w:tblStylePr>
    <w:tblStylePr w:type="swCell">
      <w:tcPr>
        <w:tcBorders>
          <w:top w:val="single" w:color="95B3D7" w:themeColor="accent1" w:themeTint="99" w:sz="4"/>
        </w:tcBorders>
      </w:tcPr>
    </w:tblStylePr>
  </w:style>
  <w:style w:styleId="PO88" w:type="table">
    <w:name w:val="Grid Table 7 Colorful Accent 2"/>
    <w:basedOn w:val="PO3"/>
    <w:uiPriority w:val="88"/>
    <w:pPr>
      <w:spacing w:lineRule="auto" w:line="240" w:after="0"/>
      <w:rPr/>
    </w:pPr>
    <w:rPr>
      <w:color w:val="943634" w:themeColor="accent2" w:themeShade="BE"/>
    </w:r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D99694" w:themeColor="accent2" w:themeTint="99" w:sz="4"/>
        </w:tcBorders>
      </w:tcPr>
    </w:tblStylePr>
    <w:tblStylePr w:type="nwCell">
      <w:tcPr>
        <w:tcBorders>
          <w:bottom w:val="single" w:color="D99694" w:themeColor="accent2" w:themeTint="99" w:sz="4"/>
        </w:tcBorders>
      </w:tcPr>
    </w:tblStylePr>
    <w:tblStylePr w:type="seCell">
      <w:tcPr>
        <w:tcBorders>
          <w:top w:val="single" w:color="D99694" w:themeColor="accent2" w:themeTint="99" w:sz="4"/>
        </w:tcBorders>
      </w:tcPr>
    </w:tblStylePr>
    <w:tblStylePr w:type="swCell">
      <w:tcPr>
        <w:tcBorders>
          <w:top w:val="single" w:color="D99694" w:themeColor="accent2" w:themeTint="99" w:sz="4"/>
        </w:tcBorders>
      </w:tcPr>
    </w:tblStylePr>
  </w:style>
  <w:style w:styleId="PO89" w:type="table">
    <w:name w:val="Grid Table 7 Colorful Accent 3"/>
    <w:basedOn w:val="PO3"/>
    <w:uiPriority w:val="89"/>
    <w:pPr>
      <w:spacing w:lineRule="auto" w:line="240" w:after="0"/>
      <w:rPr/>
    </w:pPr>
    <w:rPr>
      <w:color w:val="75913B" w:themeColor="accent3" w:themeShade="BE"/>
    </w:r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3D69B" w:themeColor="accent3" w:themeTint="99" w:sz="4"/>
        </w:tcBorders>
      </w:tcPr>
    </w:tblStylePr>
    <w:tblStylePr w:type="nwCell">
      <w:tcPr>
        <w:tcBorders>
          <w:bottom w:val="single" w:color="C3D69B" w:themeColor="accent3" w:themeTint="99" w:sz="4"/>
        </w:tcBorders>
      </w:tcPr>
    </w:tblStylePr>
    <w:tblStylePr w:type="seCell">
      <w:tcPr>
        <w:tcBorders>
          <w:top w:val="single" w:color="C3D69B" w:themeColor="accent3" w:themeTint="99" w:sz="4"/>
        </w:tcBorders>
      </w:tcPr>
    </w:tblStylePr>
    <w:tblStylePr w:type="swCell">
      <w:tcPr>
        <w:tcBorders>
          <w:top w:val="single" w:color="C3D69B" w:themeColor="accent3" w:themeTint="99" w:sz="4"/>
        </w:tcBorders>
      </w:tcPr>
    </w:tblStylePr>
  </w:style>
  <w:style w:styleId="PO90" w:type="table">
    <w:name w:val="Grid Table 7 Colorful Accent 4"/>
    <w:basedOn w:val="PO3"/>
    <w:uiPriority w:val="90"/>
    <w:pPr>
      <w:spacing w:lineRule="auto" w:line="240" w:after="0"/>
      <w:rPr/>
    </w:pPr>
    <w:rPr>
      <w:color w:val="5F497A" w:themeColor="accent4" w:themeShade="BE"/>
    </w:r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B3A2C7" w:themeColor="accent4" w:themeTint="99" w:sz="4"/>
        </w:tcBorders>
      </w:tcPr>
    </w:tblStylePr>
    <w:tblStylePr w:type="nwCell">
      <w:tcPr>
        <w:tcBorders>
          <w:bottom w:val="single" w:color="B3A2C7" w:themeColor="accent4" w:themeTint="99" w:sz="4"/>
        </w:tcBorders>
      </w:tcPr>
    </w:tblStylePr>
    <w:tblStylePr w:type="seCell">
      <w:tcPr>
        <w:tcBorders>
          <w:top w:val="single" w:color="B3A2C7" w:themeColor="accent4" w:themeTint="99" w:sz="4"/>
        </w:tcBorders>
      </w:tcPr>
    </w:tblStylePr>
    <w:tblStylePr w:type="swCell">
      <w:tcPr>
        <w:tcBorders>
          <w:top w:val="single" w:color="B3A2C7" w:themeColor="accent4" w:themeTint="99" w:sz="4"/>
        </w:tcBorders>
      </w:tcPr>
    </w:tblStylePr>
  </w:style>
  <w:style w:styleId="PO91" w:type="table">
    <w:name w:val="Grid Table 7 Colorful Accent 5"/>
    <w:basedOn w:val="PO3"/>
    <w:uiPriority w:val="91"/>
    <w:pPr>
      <w:spacing w:lineRule="auto" w:line="240" w:after="0"/>
      <w:rPr/>
    </w:pPr>
    <w:rPr>
      <w:color w:val="30849A" w:themeColor="accent5" w:themeShade="BE"/>
    </w:r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3CDDD" w:themeColor="accent5" w:themeTint="99" w:sz="4"/>
        </w:tcBorders>
      </w:tcPr>
    </w:tblStylePr>
    <w:tblStylePr w:type="nwCell">
      <w:tcPr>
        <w:tcBorders>
          <w:bottom w:val="single" w:color="93CDDD" w:themeColor="accent5" w:themeTint="99" w:sz="4"/>
        </w:tcBorders>
      </w:tcPr>
    </w:tblStylePr>
    <w:tblStylePr w:type="seCell">
      <w:tcPr>
        <w:tcBorders>
          <w:top w:val="single" w:color="93CDDD" w:themeColor="accent5" w:themeTint="99" w:sz="4"/>
        </w:tcBorders>
      </w:tcPr>
    </w:tblStylePr>
    <w:tblStylePr w:type="swCell">
      <w:tcPr>
        <w:tcBorders>
          <w:top w:val="single" w:color="93CDDD" w:themeColor="accent5" w:themeTint="99" w:sz="4"/>
        </w:tcBorders>
      </w:tcPr>
    </w:tblStylePr>
  </w:style>
  <w:style w:styleId="PO92" w:type="table">
    <w:name w:val="Grid Table 7 Colorful Accent 6"/>
    <w:basedOn w:val="PO3"/>
    <w:uiPriority w:val="92"/>
    <w:pPr>
      <w:spacing w:lineRule="auto" w:line="240" w:after="0"/>
      <w:rPr/>
    </w:pPr>
    <w:rPr>
      <w:color w:val="E26B09" w:themeColor="accent6" w:themeShade="BE"/>
    </w:r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AC090" w:themeColor="accent6" w:themeTint="99" w:sz="4"/>
        </w:tcBorders>
      </w:tcPr>
    </w:tblStylePr>
    <w:tblStylePr w:type="nwCell">
      <w:tcPr>
        <w:tcBorders>
          <w:bottom w:val="single" w:color="FAC090" w:themeColor="accent6" w:themeTint="99" w:sz="4"/>
        </w:tcBorders>
      </w:tcPr>
    </w:tblStylePr>
    <w:tblStylePr w:type="seCell">
      <w:tcPr>
        <w:tcBorders>
          <w:top w:val="single" w:color="FAC090" w:themeColor="accent6" w:themeTint="99" w:sz="4"/>
        </w:tcBorders>
      </w:tcPr>
    </w:tblStylePr>
    <w:tblStylePr w:type="swCell">
      <w:tcPr>
        <w:tcBorders>
          <w:top w:val="single" w:color="FAC090" w:themeColor="accent6" w:themeTint="99" w:sz="4"/>
        </w:tcBorders>
      </w:tcPr>
    </w:tblStylePr>
  </w:style>
  <w:style w:styleId="PO93" w:type="table">
    <w:name w:val="List Table 1 Light"/>
    <w:basedOn w:val="PO3"/>
    <w:uiPriority w:val="93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666666" w:themeColor="text1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666666" w:themeColor="text1" w:themeTint="99" w:sz="4"/>
        </w:tcBorders>
      </w:tcPr>
    </w:tblStylePr>
  </w:style>
  <w:style w:styleId="PO94" w:type="table">
    <w:name w:val="List Table 1 Light Accent 1"/>
    <w:basedOn w:val="PO3"/>
    <w:uiPriority w:val="94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5B3D7" w:themeColor="accent1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95B3D7" w:themeColor="accent1" w:themeTint="99" w:sz="4"/>
        </w:tcBorders>
      </w:tcPr>
    </w:tblStylePr>
  </w:style>
  <w:style w:styleId="PO95" w:type="table">
    <w:name w:val="List Table 1 Light Accent 2"/>
    <w:basedOn w:val="PO3"/>
    <w:uiPriority w:val="95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D99694" w:themeColor="accent2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D99694" w:themeColor="accent2" w:themeTint="99" w:sz="4"/>
        </w:tcBorders>
      </w:tcPr>
    </w:tblStylePr>
  </w:style>
  <w:style w:styleId="PO96" w:type="table">
    <w:name w:val="List Table 1 Light Accent 3"/>
    <w:basedOn w:val="PO3"/>
    <w:uiPriority w:val="96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3D69B" w:themeColor="accent3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C3D69B" w:themeColor="accent3" w:themeTint="99" w:sz="4"/>
        </w:tcBorders>
      </w:tcPr>
    </w:tblStylePr>
  </w:style>
  <w:style w:styleId="PO97" w:type="table">
    <w:name w:val="List Table 1 Light Accent 4"/>
    <w:basedOn w:val="PO3"/>
    <w:uiPriority w:val="97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B3A2C7" w:themeColor="accent4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3A2C7" w:themeColor="accent4" w:themeTint="99" w:sz="4"/>
        </w:tcBorders>
      </w:tcPr>
    </w:tblStylePr>
  </w:style>
  <w:style w:styleId="PO98" w:type="table">
    <w:name w:val="List Table 1 Light Accent 5"/>
    <w:basedOn w:val="PO3"/>
    <w:uiPriority w:val="98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3CDDD" w:themeColor="accent5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93CDDD" w:themeColor="accent5" w:themeTint="99" w:sz="4"/>
        </w:tcBorders>
      </w:tcPr>
    </w:tblStylePr>
  </w:style>
  <w:style w:styleId="PO99" w:type="table">
    <w:name w:val="List Table 1 Light Accent 6"/>
    <w:basedOn w:val="PO3"/>
    <w:uiPriority w:val="99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AC090" w:themeColor="accent6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FAC090" w:themeColor="accent6" w:themeTint="99" w:sz="4"/>
        </w:tcBorders>
      </w:tcPr>
    </w:tblStylePr>
  </w:style>
  <w:style w:styleId="PO100" w:type="table">
    <w:name w:val="List Table 2"/>
    <w:basedOn w:val="PO3"/>
    <w:uiPriority w:val="100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1" w:type="table">
    <w:name w:val="List Table 2 Accent 1"/>
    <w:basedOn w:val="PO3"/>
    <w:uiPriority w:val="101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2" w:type="table">
    <w:name w:val="List Table 2 Accent 2"/>
    <w:basedOn w:val="PO3"/>
    <w:uiPriority w:val="102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3" w:type="table">
    <w:name w:val="List Table 2 Accent 3"/>
    <w:basedOn w:val="PO3"/>
    <w:uiPriority w:val="103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4" w:type="table">
    <w:name w:val="List Table 2 Accent 4"/>
    <w:basedOn w:val="PO3"/>
    <w:uiPriority w:val="104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5" w:type="table">
    <w:name w:val="List Table 2 Accent 5"/>
    <w:basedOn w:val="PO3"/>
    <w:uiPriority w:val="105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6" w:type="table">
    <w:name w:val="List Table 2 Accent 6"/>
    <w:basedOn w:val="PO3"/>
    <w:uiPriority w:val="106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7" w:type="table">
    <w:name w:val="List Table 3"/>
    <w:basedOn w:val="PO3"/>
    <w:uiPriority w:val="107"/>
    <w:pPr>
      <w:spacing w:lineRule="auto" w:line="240" w:after="0"/>
      <w:rPr/>
    </w:pPr>
    <w:rPr/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000000" w:themeColor="text1" w:sz="4"/>
        </w:tcBorders>
      </w:tcPr>
    </w:tblStylePr>
    <w:tblStylePr w:type="swCell">
      <w:tcPr>
        <w:tcBorders>
          <w:right w:val="nil"/>
          <w:top w:val="double" w:color="000000" w:themeColor="text1" w:sz="4"/>
        </w:tcBorders>
      </w:tcPr>
    </w:tblStylePr>
  </w:style>
  <w:style w:styleId="PO108" w:type="table">
    <w:name w:val="List Table 3 Accent 1"/>
    <w:basedOn w:val="PO3"/>
    <w:uiPriority w:val="108"/>
    <w:pPr>
      <w:spacing w:lineRule="auto" w:line="240" w:after="0"/>
      <w:rPr/>
    </w:pPr>
    <w:rPr/>
    <w:tblPr>
      <w:tblBorders>
        <w:bottom w:val="single" w:color="4F81BD" w:themeColor="accent1" w:sz="4"/>
        <w:left w:val="single" w:color="4F81BD" w:themeColor="accent1" w:sz="4"/>
        <w:right w:val="single" w:color="4F81BD" w:themeColor="accent1" w:sz="4"/>
        <w:top w:val="single" w:color="4F81BD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F81BD" w:themeColor="accent1" w:sz="4"/>
          <w:insideH w:val="nil"/>
          <w:top w:val="single" w:color="4F81BD" w:themeColor="accent1" w:sz="4"/>
        </w:tcBorders>
      </w:tcPr>
    </w:tblStylePr>
    <w:tblStylePr w:type="band1Vert">
      <w:tcPr>
        <w:tcBorders>
          <w:left w:val="single" w:color="4F81BD" w:themeColor="accent1" w:sz="4"/>
          <w:right w:val="single" w:color="4F81BD" w:themeColor="accent1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4F81BD" w:themeColor="accen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F81BD" w:themeColor="accent1" w:sz="4"/>
        </w:tcBorders>
      </w:tcPr>
    </w:tblStylePr>
    <w:tblStylePr w:type="swCell">
      <w:tcPr>
        <w:tcBorders>
          <w:right w:val="nil"/>
          <w:top w:val="double" w:color="4F81BD" w:themeColor="accent1" w:sz="4"/>
        </w:tcBorders>
      </w:tcPr>
    </w:tblStylePr>
  </w:style>
  <w:style w:styleId="PO109" w:type="table">
    <w:name w:val="List Table 3 Accent 2"/>
    <w:basedOn w:val="PO3"/>
    <w:uiPriority w:val="109"/>
    <w:pPr>
      <w:spacing w:lineRule="auto" w:line="240" w:after="0"/>
      <w:rPr/>
    </w:pPr>
    <w:rPr/>
    <w:tblPr>
      <w:tblBorders>
        <w:bottom w:val="single" w:color="C0504D" w:themeColor="accent2" w:sz="4"/>
        <w:left w:val="single" w:color="C0504D" w:themeColor="accent2" w:sz="4"/>
        <w:right w:val="single" w:color="C0504D" w:themeColor="accent2" w:sz="4"/>
        <w:top w:val="single" w:color="C0504D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C0504D" w:themeColor="accent2" w:sz="4"/>
          <w:insideH w:val="nil"/>
          <w:top w:val="single" w:color="C0504D" w:themeColor="accent2" w:sz="4"/>
        </w:tcBorders>
      </w:tcPr>
    </w:tblStylePr>
    <w:tblStylePr w:type="band1Vert">
      <w:tcPr>
        <w:tcBorders>
          <w:left w:val="single" w:color="C0504D" w:themeColor="accent2" w:sz="4"/>
          <w:right w:val="single" w:color="C0504D" w:themeColor="accent2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C0504D" w:themeColor="accent2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C0504D" w:themeColor="accent2" w:sz="4"/>
        </w:tcBorders>
      </w:tcPr>
    </w:tblStylePr>
    <w:tblStylePr w:type="swCell">
      <w:tcPr>
        <w:tcBorders>
          <w:right w:val="nil"/>
          <w:top w:val="double" w:color="C0504D" w:themeColor="accent2" w:sz="4"/>
        </w:tcBorders>
      </w:tcPr>
    </w:tblStylePr>
  </w:style>
  <w:style w:styleId="PO110" w:type="table">
    <w:name w:val="List Table 3 Accent 3"/>
    <w:basedOn w:val="PO3"/>
    <w:uiPriority w:val="110"/>
    <w:pPr>
      <w:spacing w:lineRule="auto" w:line="240" w:after="0"/>
      <w:rPr/>
    </w:pPr>
    <w:rPr/>
    <w:tblPr>
      <w:tblBorders>
        <w:bottom w:val="single" w:color="9BBB59" w:themeColor="accent3" w:sz="4"/>
        <w:left w:val="single" w:color="9BBB59" w:themeColor="accent3" w:sz="4"/>
        <w:right w:val="single" w:color="9BBB59" w:themeColor="accent3" w:sz="4"/>
        <w:top w:val="single" w:color="9BBB59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9BBB59" w:themeColor="accent3" w:sz="4"/>
          <w:insideH w:val="nil"/>
          <w:top w:val="single" w:color="9BBB59" w:themeColor="accent3" w:sz="4"/>
        </w:tcBorders>
      </w:tcPr>
    </w:tblStylePr>
    <w:tblStylePr w:type="band1Vert">
      <w:tcPr>
        <w:tcBorders>
          <w:left w:val="single" w:color="9BBB59" w:themeColor="accent3" w:sz="4"/>
          <w:right w:val="single" w:color="9BBB59" w:themeColor="accent3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9BBB59" w:themeColor="accent3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9BBB59" w:themeColor="accent3" w:sz="4"/>
        </w:tcBorders>
      </w:tcPr>
    </w:tblStylePr>
    <w:tblStylePr w:type="swCell">
      <w:tcPr>
        <w:tcBorders>
          <w:right w:val="nil"/>
          <w:top w:val="double" w:color="9BBB59" w:themeColor="accent3" w:sz="4"/>
        </w:tcBorders>
      </w:tcPr>
    </w:tblStylePr>
  </w:style>
  <w:style w:styleId="PO111" w:type="table">
    <w:name w:val="List Table 3 Accent 4"/>
    <w:basedOn w:val="PO3"/>
    <w:uiPriority w:val="111"/>
    <w:pPr>
      <w:spacing w:lineRule="auto" w:line="240" w:after="0"/>
      <w:rPr/>
    </w:pPr>
    <w:rPr/>
    <w:tblPr>
      <w:tblBorders>
        <w:bottom w:val="single" w:color="8064A2" w:themeColor="accent4" w:sz="4"/>
        <w:left w:val="single" w:color="8064A2" w:themeColor="accent4" w:sz="4"/>
        <w:right w:val="single" w:color="8064A2" w:themeColor="accent4" w:sz="4"/>
        <w:top w:val="single" w:color="8064A2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64A2" w:themeColor="accent4" w:sz="4"/>
          <w:insideH w:val="nil"/>
          <w:top w:val="single" w:color="8064A2" w:themeColor="accent4" w:sz="4"/>
        </w:tcBorders>
      </w:tcPr>
    </w:tblStylePr>
    <w:tblStylePr w:type="band1Vert">
      <w:tcPr>
        <w:tcBorders>
          <w:left w:val="single" w:color="8064A2" w:themeColor="accent4" w:sz="4"/>
          <w:right w:val="single" w:color="8064A2" w:themeColor="accent4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8064A2" w:themeColor="accent4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8064A2" w:themeColor="accent4" w:sz="4"/>
        </w:tcBorders>
      </w:tcPr>
    </w:tblStylePr>
    <w:tblStylePr w:type="swCell">
      <w:tcPr>
        <w:tcBorders>
          <w:right w:val="nil"/>
          <w:top w:val="double" w:color="8064A2" w:themeColor="accent4" w:sz="4"/>
        </w:tcBorders>
      </w:tcPr>
    </w:tblStylePr>
  </w:style>
  <w:style w:styleId="PO112" w:type="table">
    <w:name w:val="List Table 3 Accent 5"/>
    <w:basedOn w:val="PO3"/>
    <w:uiPriority w:val="112"/>
    <w:pPr>
      <w:spacing w:lineRule="auto" w:line="240" w:after="0"/>
      <w:rPr/>
    </w:pPr>
    <w:rPr/>
    <w:tblPr>
      <w:tblBorders>
        <w:bottom w:val="single" w:color="4BACC6" w:themeColor="accent5" w:sz="4"/>
        <w:left w:val="single" w:color="4BACC6" w:themeColor="accent5" w:sz="4"/>
        <w:right w:val="single" w:color="4BACC6" w:themeColor="accent5" w:sz="4"/>
        <w:top w:val="single" w:color="4BACC6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BACC6" w:themeColor="accent5" w:sz="4"/>
          <w:insideH w:val="nil"/>
          <w:top w:val="single" w:color="4BACC6" w:themeColor="accent5" w:sz="4"/>
        </w:tcBorders>
      </w:tcPr>
    </w:tblStylePr>
    <w:tblStylePr w:type="band1Vert">
      <w:tcPr>
        <w:tcBorders>
          <w:left w:val="single" w:color="4BACC6" w:themeColor="accent5" w:sz="4"/>
          <w:right w:val="single" w:color="4BACC6" w:themeColor="accent5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4BACC6" w:themeColor="accent5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BACC6" w:themeColor="accent5" w:sz="4"/>
        </w:tcBorders>
      </w:tcPr>
    </w:tblStylePr>
    <w:tblStylePr w:type="swCell">
      <w:tcPr>
        <w:tcBorders>
          <w:right w:val="nil"/>
          <w:top w:val="double" w:color="4BACC6" w:themeColor="accent5" w:sz="4"/>
        </w:tcBorders>
      </w:tcPr>
    </w:tblStylePr>
  </w:style>
  <w:style w:styleId="PO113" w:type="table">
    <w:name w:val="List Table 3 Accent 6"/>
    <w:basedOn w:val="PO3"/>
    <w:uiPriority w:val="113"/>
    <w:pPr>
      <w:spacing w:lineRule="auto" w:line="240" w:after="0"/>
      <w:rPr/>
    </w:pPr>
    <w:rPr/>
    <w:tblPr>
      <w:tblBorders>
        <w:bottom w:val="single" w:color="F79646" w:themeColor="accent6" w:sz="4"/>
        <w:left w:val="single" w:color="F79646" w:themeColor="accent6" w:sz="4"/>
        <w:right w:val="single" w:color="F79646" w:themeColor="accent6" w:sz="4"/>
        <w:top w:val="single" w:color="F79646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F79646" w:themeColor="accent6" w:sz="4"/>
          <w:insideH w:val="nil"/>
          <w:top w:val="single" w:color="F79646" w:themeColor="accent6" w:sz="4"/>
        </w:tcBorders>
      </w:tcPr>
    </w:tblStylePr>
    <w:tblStylePr w:type="band1Vert">
      <w:tcPr>
        <w:tcBorders>
          <w:left w:val="single" w:color="F79646" w:themeColor="accent6" w:sz="4"/>
          <w:right w:val="single" w:color="F79646" w:themeColor="accent6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F79646" w:themeColor="accent6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F79646" w:themeColor="accent6" w:sz="4"/>
        </w:tcBorders>
      </w:tcPr>
    </w:tblStylePr>
    <w:tblStylePr w:type="swCell">
      <w:tcPr>
        <w:tcBorders>
          <w:right w:val="nil"/>
          <w:top w:val="double" w:color="F79646" w:themeColor="accent6" w:sz="4"/>
        </w:tcBorders>
      </w:tcPr>
    </w:tblStylePr>
  </w:style>
  <w:style w:styleId="PO114" w:type="table">
    <w:name w:val="List Table 4"/>
    <w:basedOn w:val="PO3"/>
    <w:uiPriority w:val="114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4"/>
        </w:tcBorders>
      </w:tcPr>
    </w:tblStylePr>
  </w:style>
  <w:style w:styleId="PO115" w:type="table">
    <w:name w:val="List Table 4 Accent 1"/>
    <w:basedOn w:val="PO3"/>
    <w:uiPriority w:val="115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4F81BD" w:themeColor="accent1" w:sz="4"/>
          <w:insideH w:val="nil"/>
          <w:left w:val="single" w:color="4F81BD" w:themeColor="accent1" w:sz="4"/>
          <w:right w:val="single" w:color="4F81BD" w:themeColor="accent1" w:sz="4"/>
          <w:top w:val="single" w:color="4F81BD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5B3D7" w:themeColor="accent1" w:themeTint="99" w:sz="4"/>
        </w:tcBorders>
      </w:tcPr>
    </w:tblStylePr>
  </w:style>
  <w:style w:styleId="PO116" w:type="table">
    <w:name w:val="List Table 4 Accent 2"/>
    <w:basedOn w:val="PO3"/>
    <w:uiPriority w:val="116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C0504D" w:themeColor="accent2" w:sz="4"/>
          <w:insideH w:val="nil"/>
          <w:left w:val="single" w:color="C0504D" w:themeColor="accent2" w:sz="4"/>
          <w:right w:val="single" w:color="C0504D" w:themeColor="accent2" w:sz="4"/>
          <w:top w:val="single" w:color="C0504D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D99694" w:themeColor="accent2" w:themeTint="99" w:sz="4"/>
        </w:tcBorders>
      </w:tcPr>
    </w:tblStylePr>
  </w:style>
  <w:style w:styleId="PO117" w:type="table">
    <w:name w:val="List Table 4 Accent 3"/>
    <w:basedOn w:val="PO3"/>
    <w:uiPriority w:val="117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9BBB59" w:themeColor="accent3" w:sz="4"/>
          <w:insideH w:val="nil"/>
          <w:left w:val="single" w:color="9BBB59" w:themeColor="accent3" w:sz="4"/>
          <w:right w:val="single" w:color="9BBB59" w:themeColor="accent3" w:sz="4"/>
          <w:top w:val="single" w:color="9BBB59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3D69B" w:themeColor="accent3" w:themeTint="99" w:sz="4"/>
        </w:tcBorders>
      </w:tcPr>
    </w:tblStylePr>
  </w:style>
  <w:style w:styleId="PO118" w:type="table">
    <w:name w:val="List Table 4 Accent 4"/>
    <w:basedOn w:val="PO3"/>
    <w:uiPriority w:val="118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8064A2" w:themeColor="accent4" w:sz="4"/>
          <w:insideH w:val="nil"/>
          <w:left w:val="single" w:color="8064A2" w:themeColor="accent4" w:sz="4"/>
          <w:right w:val="single" w:color="8064A2" w:themeColor="accent4" w:sz="4"/>
          <w:top w:val="single" w:color="8064A2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3A2C7" w:themeColor="accent4" w:themeTint="99" w:sz="4"/>
        </w:tcBorders>
      </w:tcPr>
    </w:tblStylePr>
  </w:style>
  <w:style w:styleId="PO119" w:type="table">
    <w:name w:val="List Table 4 Accent 5"/>
    <w:basedOn w:val="PO3"/>
    <w:uiPriority w:val="119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4BACC6" w:themeColor="accent5" w:sz="4"/>
          <w:insideH w:val="nil"/>
          <w:left w:val="single" w:color="4BACC6" w:themeColor="accent5" w:sz="4"/>
          <w:right w:val="single" w:color="4BACC6" w:themeColor="accent5" w:sz="4"/>
          <w:top w:val="single" w:color="4BACC6" w:themeColor="accent5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3CDDD" w:themeColor="accent5" w:themeTint="99" w:sz="4"/>
        </w:tcBorders>
      </w:tcPr>
    </w:tblStylePr>
  </w:style>
  <w:style w:styleId="PO120" w:type="table">
    <w:name w:val="List Table 4 Accent 6"/>
    <w:basedOn w:val="PO3"/>
    <w:uiPriority w:val="120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79646" w:themeColor="accent6" w:sz="4"/>
          <w:insideH w:val="nil"/>
          <w:left w:val="single" w:color="F79646" w:themeColor="accent6" w:sz="4"/>
          <w:right w:val="single" w:color="F79646" w:themeColor="accent6" w:sz="4"/>
          <w:top w:val="single" w:color="F79646" w:themeColor="accent6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AC090" w:themeColor="accent6" w:themeTint="99" w:sz="4"/>
        </w:tcBorders>
      </w:tcPr>
    </w:tblStylePr>
  </w:style>
  <w:style w:styleId="PO121" w:type="table">
    <w:name w:val="List Table 5"/>
    <w:basedOn w:val="PO3"/>
    <w:uiPriority w:val="121"/>
    <w:pPr>
      <w:spacing w:lineRule="auto" w:line="240" w:after="0"/>
      <w:rPr/>
    </w:pPr>
    <w:rPr>
      <w:color w:val="FFFFFF" w:themeColor="background1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2" w:type="table">
    <w:name w:val="List Table 5 Accent 1"/>
    <w:basedOn w:val="PO3"/>
    <w:uiPriority w:val="122"/>
    <w:pPr>
      <w:spacing w:lineRule="auto" w:line="240" w:after="0"/>
      <w:rPr/>
    </w:pPr>
    <w:rPr>
      <w:color w:val="FFFFFF" w:themeColor="background1"/>
    </w:rPr>
    <w:tblPr>
      <w:tblBorders>
        <w:bottom w:val="single" w:color="4F81BD" w:themeColor="accent1" w:sz="24"/>
        <w:left w:val="single" w:color="4F81BD" w:themeColor="accent1" w:sz="24"/>
        <w:right w:val="single" w:color="4F81BD" w:themeColor="accent1" w:sz="24"/>
        <w:top w:val="single" w:color="4F81BD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F81BD" w:themeFill="accen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3" w:type="table">
    <w:name w:val="List Table 5 Accent 2"/>
    <w:basedOn w:val="PO3"/>
    <w:uiPriority w:val="123"/>
    <w:pPr>
      <w:spacing w:lineRule="auto" w:line="240" w:after="0"/>
      <w:rPr/>
    </w:pPr>
    <w:rPr>
      <w:color w:val="FFFFFF" w:themeColor="background1"/>
    </w:rPr>
    <w:tblPr>
      <w:tblBorders>
        <w:bottom w:val="single" w:color="C0504D" w:themeColor="accent2" w:sz="24"/>
        <w:left w:val="single" w:color="C0504D" w:themeColor="accent2" w:sz="24"/>
        <w:right w:val="single" w:color="C0504D" w:themeColor="accent2" w:sz="24"/>
        <w:top w:val="single" w:color="C0504D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0504D" w:themeFill="accent2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4" w:type="table">
    <w:name w:val="List Table 5 Accent 3"/>
    <w:basedOn w:val="PO3"/>
    <w:uiPriority w:val="124"/>
    <w:pPr>
      <w:spacing w:lineRule="auto" w:line="240" w:after="0"/>
      <w:rPr/>
    </w:pPr>
    <w:rPr>
      <w:color w:val="FFFFFF" w:themeColor="background1"/>
    </w:rPr>
    <w:tblPr>
      <w:tblBorders>
        <w:bottom w:val="single" w:color="9BBB59" w:themeColor="accent3" w:sz="24"/>
        <w:left w:val="single" w:color="9BBB59" w:themeColor="accent3" w:sz="24"/>
        <w:right w:val="single" w:color="9BBB59" w:themeColor="accent3" w:sz="24"/>
        <w:top w:val="single" w:color="9BBB59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9BBB59" w:themeFill="accent3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5" w:type="table">
    <w:name w:val="List Table 5 Accent 4"/>
    <w:basedOn w:val="PO3"/>
    <w:uiPriority w:val="125"/>
    <w:pPr>
      <w:spacing w:lineRule="auto" w:line="240" w:after="0"/>
      <w:rPr/>
    </w:pPr>
    <w:rPr>
      <w:color w:val="FFFFFF" w:themeColor="background1"/>
    </w:rPr>
    <w:tblPr>
      <w:tblBorders>
        <w:bottom w:val="single" w:color="8064A2" w:themeColor="accent4" w:sz="24"/>
        <w:left w:val="single" w:color="8064A2" w:themeColor="accent4" w:sz="24"/>
        <w:right w:val="single" w:color="8064A2" w:themeColor="accent4" w:sz="24"/>
        <w:top w:val="single" w:color="8064A2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8064A2" w:themeFill="accent4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6" w:type="table">
    <w:name w:val="List Table 5 Accent 5"/>
    <w:basedOn w:val="PO3"/>
    <w:uiPriority w:val="126"/>
    <w:pPr>
      <w:spacing w:lineRule="auto" w:line="240" w:after="0"/>
      <w:rPr/>
    </w:pPr>
    <w:rPr>
      <w:color w:val="FFFFFF" w:themeColor="background1"/>
    </w:rPr>
    <w:tblPr>
      <w:tblBorders>
        <w:bottom w:val="single" w:color="4BACC6" w:themeColor="accent5" w:sz="24"/>
        <w:left w:val="single" w:color="4BACC6" w:themeColor="accent5" w:sz="24"/>
        <w:right w:val="single" w:color="4BACC6" w:themeColor="accent5" w:sz="24"/>
        <w:top w:val="single" w:color="4BACC6" w:themeColor="accent5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BACC6" w:themeFill="accent5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7" w:type="table">
    <w:name w:val="List Table 5 Accent 6"/>
    <w:basedOn w:val="PO3"/>
    <w:uiPriority w:val="127"/>
    <w:pPr>
      <w:spacing w:lineRule="auto" w:line="240" w:after="0"/>
      <w:rPr/>
    </w:pPr>
    <w:rPr>
      <w:color w:val="FFFFFF" w:themeColor="background1"/>
    </w:rPr>
    <w:tblPr>
      <w:tblBorders>
        <w:bottom w:val="single" w:color="F79646" w:themeColor="accent6" w:sz="24"/>
        <w:left w:val="single" w:color="F79646" w:themeColor="accent6" w:sz="24"/>
        <w:right w:val="single" w:color="F79646" w:themeColor="accent6" w:sz="24"/>
        <w:top w:val="single" w:color="F79646" w:themeColor="accent6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79646" w:themeFill="accent6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8" w:type="table">
    <w:name w:val="List Table 6 Colorful"/>
    <w:basedOn w:val="PO3"/>
    <w:uiPriority w:val="128"/>
    <w:pPr>
      <w:spacing w:lineRule="auto" w:line="240" w:after="0"/>
      <w:rPr/>
    </w:pPr>
    <w:rPr>
      <w:color w:val="000000" w:themeColor="text1" w:themeShade="BE"/>
    </w:rPr>
    <w:tblPr>
      <w:tblBorders>
        <w:bottom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000000" w:themeColor="text1" w:sz="4"/>
        </w:tcBorders>
      </w:tcPr>
    </w:tblStylePr>
  </w:style>
  <w:style w:styleId="PO129" w:type="table">
    <w:name w:val="List Table 6 Colorful Accent 1"/>
    <w:basedOn w:val="PO3"/>
    <w:uiPriority w:val="129"/>
    <w:pPr>
      <w:spacing w:lineRule="auto" w:line="240" w:after="0"/>
      <w:rPr/>
    </w:pPr>
    <w:rPr>
      <w:color w:val="365F91" w:themeColor="accent1" w:themeShade="BE"/>
    </w:rPr>
    <w:tblPr>
      <w:tblBorders>
        <w:bottom w:val="single" w:color="4F81BD" w:themeColor="accent1" w:sz="4"/>
        <w:top w:val="single" w:color="4F81BD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4F81BD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F81BD" w:themeColor="accent1" w:sz="4"/>
        </w:tcBorders>
      </w:tcPr>
    </w:tblStylePr>
  </w:style>
  <w:style w:styleId="PO130" w:type="table">
    <w:name w:val="List Table 6 Colorful Accent 2"/>
    <w:basedOn w:val="PO3"/>
    <w:uiPriority w:val="130"/>
    <w:pPr>
      <w:spacing w:lineRule="auto" w:line="240" w:after="0"/>
      <w:rPr/>
    </w:pPr>
    <w:rPr>
      <w:color w:val="943634" w:themeColor="accent2" w:themeShade="BE"/>
    </w:rPr>
    <w:tblPr>
      <w:tblBorders>
        <w:bottom w:val="single" w:color="C0504D" w:themeColor="accent2" w:sz="4"/>
        <w:top w:val="single" w:color="C0504D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0504D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0504D" w:themeColor="accent2" w:sz="4"/>
        </w:tcBorders>
      </w:tcPr>
    </w:tblStylePr>
  </w:style>
  <w:style w:styleId="PO131" w:type="table">
    <w:name w:val="List Table 6 Colorful Accent 3"/>
    <w:basedOn w:val="PO3"/>
    <w:uiPriority w:val="131"/>
    <w:pPr>
      <w:spacing w:lineRule="auto" w:line="240" w:after="0"/>
      <w:rPr/>
    </w:pPr>
    <w:rPr>
      <w:color w:val="75913B" w:themeColor="accent3" w:themeShade="BE"/>
    </w:rPr>
    <w:tblPr>
      <w:tblBorders>
        <w:bottom w:val="single" w:color="9BBB59" w:themeColor="accent3" w:sz="4"/>
        <w:top w:val="single" w:color="9BBB59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BBB59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BBB59" w:themeColor="accent3" w:sz="4"/>
        </w:tcBorders>
      </w:tcPr>
    </w:tblStylePr>
  </w:style>
  <w:style w:styleId="PO132" w:type="table">
    <w:name w:val="List Table 6 Colorful Accent 4"/>
    <w:basedOn w:val="PO3"/>
    <w:uiPriority w:val="132"/>
    <w:pPr>
      <w:spacing w:lineRule="auto" w:line="240" w:after="0"/>
      <w:rPr/>
    </w:pPr>
    <w:rPr>
      <w:color w:val="5F497A" w:themeColor="accent4" w:themeShade="BE"/>
    </w:rPr>
    <w:tblPr>
      <w:tblBorders>
        <w:bottom w:val="single" w:color="8064A2" w:themeColor="accent4" w:sz="4"/>
        <w:top w:val="single" w:color="8064A2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8064A2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8064A2" w:themeColor="accent4" w:sz="4"/>
        </w:tcBorders>
      </w:tcPr>
    </w:tblStylePr>
  </w:style>
  <w:style w:styleId="PO133" w:type="table">
    <w:name w:val="List Table 6 Colorful Accent 5"/>
    <w:basedOn w:val="PO3"/>
    <w:uiPriority w:val="133"/>
    <w:pPr>
      <w:spacing w:lineRule="auto" w:line="240" w:after="0"/>
      <w:rPr/>
    </w:pPr>
    <w:rPr>
      <w:color w:val="30849A" w:themeColor="accent5" w:themeShade="BE"/>
    </w:rPr>
    <w:tblPr>
      <w:tblBorders>
        <w:bottom w:val="single" w:color="4BACC6" w:themeColor="accent5" w:sz="4"/>
        <w:top w:val="single" w:color="4BACC6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4BACC6" w:themeColor="accent5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BACC6" w:themeColor="accent5" w:sz="4"/>
        </w:tcBorders>
      </w:tcPr>
    </w:tblStylePr>
  </w:style>
  <w:style w:styleId="PO134" w:type="table">
    <w:name w:val="List Table 6 Colorful Accent 6"/>
    <w:basedOn w:val="PO3"/>
    <w:uiPriority w:val="134"/>
    <w:pPr>
      <w:spacing w:lineRule="auto" w:line="240" w:after="0"/>
      <w:rPr/>
    </w:pPr>
    <w:rPr>
      <w:color w:val="E26B09" w:themeColor="accent6" w:themeShade="BE"/>
    </w:rPr>
    <w:tblPr>
      <w:tblBorders>
        <w:bottom w:val="single" w:color="F79646" w:themeColor="accent6" w:sz="4"/>
        <w:top w:val="single" w:color="F79646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79646" w:themeColor="accent6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79646" w:themeColor="accent6" w:sz="4"/>
        </w:tcBorders>
      </w:tcPr>
    </w:tblStylePr>
  </w:style>
  <w:style w:styleId="PO135" w:type="table">
    <w:name w:val="List Table 7 Colorful"/>
    <w:basedOn w:val="PO3"/>
    <w:uiPriority w:val="135"/>
    <w:pPr>
      <w:spacing w:lineRule="auto" w:line="240" w:after="0"/>
      <w:rPr/>
    </w:pPr>
    <w:rPr>
      <w:color w:val="000000" w:themeColor="text1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6" w:type="table">
    <w:name w:val="List Table 7 Colorful Accent 1"/>
    <w:basedOn w:val="PO3"/>
    <w:uiPriority w:val="136"/>
    <w:pPr>
      <w:spacing w:lineRule="auto" w:line="240" w:after="0"/>
      <w:rPr/>
    </w:pPr>
    <w:rPr>
      <w:color w:val="365F91" w:themeColor="accent1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4F81BD" w:themeColor="accent1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4F81BD" w:themeColor="accent1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4F81BD" w:themeColor="accent1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4F81BD" w:themeColor="accen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7" w:type="table">
    <w:name w:val="List Table 7 Colorful Accent 2"/>
    <w:basedOn w:val="PO3"/>
    <w:uiPriority w:val="137"/>
    <w:pPr>
      <w:spacing w:lineRule="auto" w:line="240" w:after="0"/>
      <w:rPr/>
    </w:pPr>
    <w:rPr>
      <w:color w:val="943634" w:themeColor="accent2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C0504D" w:themeColor="accent2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C0504D" w:themeColor="accent2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C0504D" w:themeColor="accent2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C0504D" w:themeColor="accent2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8" w:type="table">
    <w:name w:val="List Table 7 Colorful Accent 3"/>
    <w:basedOn w:val="PO3"/>
    <w:uiPriority w:val="138"/>
    <w:pPr>
      <w:spacing w:lineRule="auto" w:line="240" w:after="0"/>
      <w:rPr/>
    </w:pPr>
    <w:rPr>
      <w:color w:val="75913B" w:themeColor="accent3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9BBB59" w:themeColor="accent3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9BBB59" w:themeColor="accent3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9BBB59" w:themeColor="accent3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9BBB59" w:themeColor="accent3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9" w:type="table">
    <w:name w:val="List Table 7 Colorful Accent 4"/>
    <w:basedOn w:val="PO3"/>
    <w:uiPriority w:val="139"/>
    <w:pPr>
      <w:spacing w:lineRule="auto" w:line="240" w:after="0"/>
      <w:rPr/>
    </w:pPr>
    <w:rPr>
      <w:color w:val="5F497A" w:themeColor="accent4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8064A2" w:themeColor="accent4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8064A2" w:themeColor="accent4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8064A2" w:themeColor="accent4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8064A2" w:themeColor="accent4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0" w:type="table">
    <w:name w:val="List Table 7 Colorful Accent 5"/>
    <w:basedOn w:val="PO3"/>
    <w:uiPriority w:val="140"/>
    <w:pPr>
      <w:spacing w:lineRule="auto" w:line="240" w:after="0"/>
      <w:rPr/>
    </w:pPr>
    <w:rPr>
      <w:color w:val="30849A" w:themeColor="accent5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4BACC6" w:themeColor="accent5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4BACC6" w:themeColor="accent5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4BACC6" w:themeColor="accent5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4BACC6" w:themeColor="accent5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1" w:type="table">
    <w:name w:val="List Table 7 Colorful Accent 6"/>
    <w:basedOn w:val="PO3"/>
    <w:uiPriority w:val="141"/>
    <w:pPr>
      <w:spacing w:lineRule="auto" w:line="240" w:after="0"/>
      <w:rPr/>
    </w:pPr>
    <w:rPr>
      <w:color w:val="E26B09" w:themeColor="accent6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F79646" w:themeColor="accent6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F79646" w:themeColor="accent6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F79646" w:themeColor="accent6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F79646" w:themeColor="accent6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customStyle="1" w:styleId="PO142" w:type="table">
    <w:name w:val="Calendar1"/>
    <w:basedOn w:val="PO3"/>
    <w:uiPriority w:val="142"/>
    <w:pPr>
      <w:jc w:val="left"/>
      <w:spacing w:lineRule="auto" w:line="240" w:after="0"/>
      <w:rPr/>
    </w:pPr>
    <w:rPr>
      <w:sz w:val="22"/>
      <w:szCs w:val="22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val="nil"/>
    </w:tcPr>
    <w:tblStylePr w:type="band1Horz">
      <w:tcPr>
        <w:shd w:val="nil"/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  <w:tblStylePr w:type="band2Horz">
      <w:tcPr>
        <w:shd w:val="nil"/>
        <w:tcBorders>
          <w:bottom w:val="single" w:color="000000" w:themeColor="text1" w:sz="24"/>
          <w:insideH w:val="nil"/>
          <w:insideV w:val="nil"/>
          <w:left w:val="nil"/>
          <w:right w:val="nil"/>
          <w:top w:val="single" w:color="000000" w:themeColor="text1" w:sz="24"/>
          <w:tl2br w:val="nil"/>
          <w:tr2bl w:val="nil"/>
        </w:tcBorders>
      </w:tcPr>
    </w:tblStylePr>
    <w:tblStylePr w:type="firstRow">
      <w:pPr>
        <w:spacing w:lineRule="auto" w:line="259"/>
        <w:rPr/>
      </w:pPr>
      <w:rPr>
        <w:i w:val="0"/>
        <w:b w:val="1"/>
        <w:color w:val="auto"/>
        <w:sz w:val="44"/>
        <w:szCs w:val="44"/>
      </w:rPr>
      <w:tcPr/>
    </w:tblStylePr>
    <w:tblStylePr w:type="lastRow">
      <w:tcPr>
        <w:shd w:val="nil"/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</w:style>
  <w:style w:styleId="PO151" w:type="paragraph">
    <w:name w:val="header"/>
    <w:basedOn w:val="PO1"/>
    <w:link w:val="PO152"/>
    <w:uiPriority w:val="151"/>
    <w:semiHidden/>
    <w:unhideWhenUsed/>
    <w:pPr>
      <w:jc w:val="center"/>
      <w:pBdr>
        <w:bottom w:val="single" w:sz="6" w:space="1" w:color="000000"/>
      </w:pBdr>
      <w:tabs>
        <w:tab w:val="center" w:pos="4153"/>
        <w:tab w:val="right" w:pos="8306"/>
      </w:tabs>
      <w:rPr/>
      <w:snapToGrid w:val="off"/>
    </w:pPr>
    <w:rPr>
      <w:sz w:val="18"/>
      <w:szCs w:val="18"/>
    </w:rPr>
  </w:style>
  <w:style w:customStyle="1" w:styleId="PO152" w:type="character">
    <w:name w:val="页眉 Char"/>
    <w:basedOn w:val="PO2"/>
    <w:link w:val="PO151"/>
    <w:uiPriority w:val="152"/>
    <w:semiHidden/>
    <w:rPr>
      <w:sz w:val="18"/>
      <w:szCs w:val="18"/>
      <w:rFonts w:ascii="宋体" w:eastAsia="宋体" w:hAnsi="Calibri"/>
    </w:rPr>
  </w:style>
  <w:style w:styleId="PO153" w:type="paragraph">
    <w:name w:val="footer"/>
    <w:basedOn w:val="PO1"/>
    <w:link w:val="PO154"/>
    <w:uiPriority w:val="153"/>
    <w:semiHidden/>
    <w:unhideWhenUsed/>
    <w:pPr>
      <w:tabs>
        <w:tab w:val="center" w:pos="4153"/>
        <w:tab w:val="right" w:pos="8306"/>
      </w:tabs>
      <w:rPr/>
      <w:snapToGrid w:val="off"/>
    </w:pPr>
    <w:rPr>
      <w:sz w:val="18"/>
      <w:szCs w:val="18"/>
    </w:rPr>
  </w:style>
  <w:style w:customStyle="1" w:styleId="PO154" w:type="character">
    <w:name w:val="页脚 Char"/>
    <w:basedOn w:val="PO2"/>
    <w:link w:val="PO153"/>
    <w:uiPriority w:val="154"/>
    <w:semiHidden/>
    <w:rPr>
      <w:sz w:val="18"/>
      <w:szCs w:val="18"/>
      <w:rFonts w:ascii="宋体" w:eastAsia="宋体" w:hAnsi="Calibri"/>
    </w:rPr>
  </w:style>
  <w:style w:customStyle="1" w:styleId="PO155" w:type="character">
    <w:name w:val="标题 2 Char"/>
    <w:basedOn w:val="PO2"/>
    <w:link w:val="PO8"/>
    <w:uiPriority w:val="155"/>
    <w:rPr>
      <w:b w:val="1"/>
      <w:rFonts w:ascii="Arial" w:eastAsia="仿宋" w:hAnsi="Arial"/>
    </w:rPr>
  </w:style>
  <w:style w:styleId="PO156" w:type="character">
    <w:name w:val="Hyperlink"/>
    <w:basedOn w:val="PO2"/>
    <w:uiPriority w:val="156"/>
    <w:unhideWhenUsed/>
    <w:rPr>
      <w:color w:val="0000FF"/>
      <w:u w:val="single"/>
    </w:rPr>
  </w:style>
  <w:style w:customStyle="1" w:styleId="PO157" w:type="character">
    <w:name w:val="标题 1 Char"/>
    <w:basedOn w:val="PO2"/>
    <w:link w:val="PO7"/>
    <w:uiPriority w:val="157"/>
    <w:rPr>
      <w:b w:val="1"/>
      <w:rFonts w:ascii="宋体" w:eastAsia="宋体" w:hAnsi="Calibri"/>
    </w:rPr>
  </w:style>
  <w:style w:styleId="PO158" w:type="paragraph">
    <w:name w:val="Balloon Text"/>
    <w:basedOn w:val="PO1"/>
    <w:link w:val="PO159"/>
    <w:uiPriority w:val="158"/>
    <w:semiHidden/>
    <w:unhideWhenUsed/>
    <w:rPr>
      <w:sz w:val="18"/>
      <w:szCs w:val="18"/>
    </w:rPr>
  </w:style>
  <w:style w:customStyle="1" w:styleId="PO159" w:type="character">
    <w:name w:val="批注框文本 Char"/>
    <w:basedOn w:val="PO2"/>
    <w:link w:val="PO158"/>
    <w:uiPriority w:val="159"/>
    <w:semiHidden/>
    <w:rPr>
      <w:sz w:val="18"/>
      <w:szCs w:val="18"/>
      <w:rFonts w:ascii="宋体" w:eastAsia="宋体" w:hAnsi="Calibri"/>
    </w:rPr>
  </w:style>
  <w:style w:styleId="PO160" w:type="paragraph">
    <w:name w:val="table of authorities"/>
    <w:basedOn w:val="PO1"/>
    <w:next w:val="PO1"/>
    <w:uiPriority w:val="160"/>
    <w:semiHidden/>
    <w:unhideWhenUsed/>
    <w:pPr>
      <w:ind w:left="420" w:firstLine="0" w:leftChars="420"/>
      <w:rPr/>
    </w:pPr>
    <w:rPr/>
  </w:style>
  <w:style w:customStyle="1" w:styleId="PO161" w:type="character">
    <w:name w:val="标题 3 Char"/>
    <w:basedOn w:val="PO2"/>
    <w:link w:val="PO9"/>
    <w:uiPriority w:val="161"/>
    <w:rPr>
      <w:b w:val="1"/>
      <w:rFonts w:ascii="宋体" w:eastAsia="宋体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png"></Relationship><Relationship Id="rId6" Type="http://schemas.openxmlformats.org/officeDocument/2006/relationships/header" Target="header2.xml"></Relationship><Relationship Id="rId7" Type="http://schemas.openxmlformats.org/officeDocument/2006/relationships/header" Target="header3.xml"></Relationship><Relationship Id="rId8" Type="http://schemas.openxmlformats.org/officeDocument/2006/relationships/footer" Target="footer5.xml"></Relationship><Relationship Id="rId9" Type="http://schemas.openxmlformats.org/officeDocument/2006/relationships/footer" Target="footer6.xml"></Relationship><Relationship Id="rId10" Type="http://schemas.openxmlformats.org/officeDocument/2006/relationships/header" Target="header4.xml"></Relationship><Relationship Id="rId11" Type="http://schemas.openxmlformats.org/officeDocument/2006/relationships/footer" Target="footer7.xml"></Relationship><Relationship Id="rId12" Type="http://schemas.openxmlformats.org/officeDocument/2006/relationships/image" Target="media/fImage1592522241.png"></Relationship><Relationship Id="rId13" Type="http://schemas.openxmlformats.org/officeDocument/2006/relationships/image" Target="media/fImage178362058467.png"></Relationship><Relationship Id="rId14" Type="http://schemas.openxmlformats.org/officeDocument/2006/relationships/image" Target="media/fImage169991706334.png"></Relationship><Relationship Id="rId15" Type="http://schemas.openxmlformats.org/officeDocument/2006/relationships/image" Target="media/fImage136032436500.png"></Relationship><Relationship Id="rId16" Type="http://schemas.openxmlformats.org/officeDocument/2006/relationships/image" Target="media/fImage1791033979169.jpeg"></Relationship><Relationship Id="rId17" Type="http://schemas.openxmlformats.org/officeDocument/2006/relationships/image" Target="media/fImage174781569358.png"></Relationship><Relationship Id="rId18" Type="http://schemas.openxmlformats.org/officeDocument/2006/relationships/image" Target="media/fImage152771356962.png"></Relationship><Relationship Id="rId19" Type="http://schemas.openxmlformats.org/officeDocument/2006/relationships/image" Target="media/fImage4346954095724.png"></Relationship><Relationship Id="rId20" Type="http://schemas.openxmlformats.org/officeDocument/2006/relationships/image" Target="media/fImage3401674141478.png"></Relationship><Relationship Id="rId21" Type="http://schemas.openxmlformats.org/officeDocument/2006/relationships/image" Target="media/fImage137681324464.png"></Relationship><Relationship Id="rId22" Type="http://schemas.openxmlformats.org/officeDocument/2006/relationships/image" Target="media/fImage187371485705.png"></Relationship><Relationship Id="rId23" Type="http://schemas.openxmlformats.org/officeDocument/2006/relationships/image" Target="media/fImage166501538145.png"></Relationship><Relationship Id="rId24" Type="http://schemas.openxmlformats.org/officeDocument/2006/relationships/image" Target="media/fImage1408163913281.jpeg"></Relationship><Relationship Id="rId25" Type="http://schemas.openxmlformats.org/officeDocument/2006/relationships/image" Target="media/fImage1883833956827.jpeg"></Relationship><Relationship Id="rId26" Type="http://schemas.openxmlformats.org/officeDocument/2006/relationships/numbering" Target="numbering.xml"></Relationship><Relationship Id="rId2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81</Lines>
  <LinksUpToDate>false</LinksUpToDate>
  <Pages>27</Pages>
  <Paragraphs>22</Paragraphs>
  <Words>1712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  <dcterms:modified xsi:type="dcterms:W3CDTF">2018-11-21T01:31:00Z</dcterms:modified>
</cp:coreProperties>
</file>